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0CAAB87F" w:rsidR="00DD3D9E" w:rsidRPr="00B4388F" w:rsidRDefault="007568C2">
      <w:pPr>
        <w:pStyle w:val="Els-Title"/>
        <w:rPr>
          <w:color w:val="000000" w:themeColor="text1"/>
        </w:rPr>
      </w:pPr>
      <w:r w:rsidRPr="00377F60">
        <w:rPr>
          <w:color w:val="000000" w:themeColor="text1"/>
        </w:rPr>
        <w:t>Optimizing Lactic Acid Recovery</w:t>
      </w:r>
      <w:r>
        <w:rPr>
          <w:color w:val="000000" w:themeColor="text1"/>
        </w:rPr>
        <w:t xml:space="preserve"> </w:t>
      </w:r>
      <w:r w:rsidRPr="00377F60">
        <w:rPr>
          <w:color w:val="000000" w:themeColor="text1"/>
        </w:rPr>
        <w:t xml:space="preserve">from </w:t>
      </w:r>
      <w:r>
        <w:rPr>
          <w:color w:val="000000" w:themeColor="text1"/>
        </w:rPr>
        <w:t>Vinasse</w:t>
      </w:r>
      <w:r w:rsidRPr="00377F60">
        <w:rPr>
          <w:color w:val="000000" w:themeColor="text1"/>
        </w:rPr>
        <w:t>: Comparing Traditional</w:t>
      </w:r>
      <w:r>
        <w:rPr>
          <w:color w:val="000000" w:themeColor="text1"/>
        </w:rPr>
        <w:t xml:space="preserve"> a</w:t>
      </w:r>
      <w:r w:rsidRPr="00377F60">
        <w:rPr>
          <w:color w:val="000000" w:themeColor="text1"/>
        </w:rPr>
        <w:t>nd Intensified Process</w:t>
      </w:r>
      <w:r>
        <w:rPr>
          <w:color w:val="000000" w:themeColor="text1"/>
        </w:rPr>
        <w:t xml:space="preserve"> </w:t>
      </w:r>
      <w:r w:rsidRPr="00377F60">
        <w:rPr>
          <w:color w:val="000000" w:themeColor="text1"/>
        </w:rPr>
        <w:t>Configurations</w:t>
      </w:r>
    </w:p>
    <w:p w14:paraId="144DE680" w14:textId="7BE534A2" w:rsidR="00DD3D9E" w:rsidRPr="00377F60" w:rsidRDefault="001223CE">
      <w:pPr>
        <w:pStyle w:val="Els-Author"/>
        <w:rPr>
          <w:lang w:val="pt-BR"/>
        </w:rPr>
      </w:pPr>
      <w:r w:rsidRPr="00377F60">
        <w:rPr>
          <w:lang w:val="pt-BR"/>
        </w:rPr>
        <w:t>L</w:t>
      </w:r>
      <w:r>
        <w:rPr>
          <w:lang w:val="pt-BR"/>
        </w:rPr>
        <w:t>ucas de Oliveira Carneiro,</w:t>
      </w:r>
      <w:r w:rsidRPr="00377F60">
        <w:rPr>
          <w:vertAlign w:val="superscript"/>
          <w:lang w:val="pt-BR"/>
        </w:rPr>
        <w:t>a</w:t>
      </w:r>
      <w:r w:rsidRPr="00377F60">
        <w:rPr>
          <w:lang w:val="pt-BR"/>
        </w:rPr>
        <w:t xml:space="preserve"> </w:t>
      </w:r>
      <w:r w:rsidR="001E1D51">
        <w:rPr>
          <w:lang w:val="pt-BR"/>
        </w:rPr>
        <w:t>Romildo Pereira Brito,</w:t>
      </w:r>
      <w:r w:rsidR="001E1D51" w:rsidRPr="001E1D51">
        <w:rPr>
          <w:vertAlign w:val="superscript"/>
          <w:lang w:val="pt-BR"/>
        </w:rPr>
        <w:t>a</w:t>
      </w:r>
      <w:r w:rsidR="001E1D51">
        <w:rPr>
          <w:lang w:val="pt-BR"/>
        </w:rPr>
        <w:t xml:space="preserve"> </w:t>
      </w:r>
      <w:r w:rsidR="00377F60" w:rsidRPr="00377F60">
        <w:rPr>
          <w:lang w:val="pt-BR"/>
        </w:rPr>
        <w:t>Karoline Dantas Brito,</w:t>
      </w:r>
      <w:r w:rsidR="00377F60" w:rsidRPr="00377F60">
        <w:rPr>
          <w:vertAlign w:val="superscript"/>
          <w:lang w:val="pt-BR"/>
        </w:rPr>
        <w:t>a</w:t>
      </w:r>
      <w:r w:rsidR="00377F60" w:rsidRPr="00377F60">
        <w:rPr>
          <w:lang w:val="pt-BR"/>
        </w:rPr>
        <w:t xml:space="preserve"> </w:t>
      </w:r>
    </w:p>
    <w:p w14:paraId="144DE682" w14:textId="21BD9040" w:rsidR="00DD3D9E" w:rsidRPr="00377F60" w:rsidRDefault="00377F60">
      <w:pPr>
        <w:pStyle w:val="Els-Affiliation"/>
        <w:rPr>
          <w:lang w:val="pt-BR"/>
        </w:rPr>
      </w:pPr>
      <w:r w:rsidRPr="00377F60">
        <w:rPr>
          <w:vertAlign w:val="superscript"/>
          <w:lang w:val="pt-BR"/>
        </w:rPr>
        <w:t>a</w:t>
      </w:r>
      <w:r w:rsidRPr="00377F60">
        <w:rPr>
          <w:lang w:val="pt-BR"/>
        </w:rPr>
        <w:t>Federal University of Campina Grande, R. Aprígio Veloso 882, Cam</w:t>
      </w:r>
      <w:r>
        <w:rPr>
          <w:lang w:val="pt-BR"/>
        </w:rPr>
        <w:t>pina Grande 58429-900, Brazil</w:t>
      </w:r>
    </w:p>
    <w:p w14:paraId="144DE683" w14:textId="54AB0BDD" w:rsidR="008D2649" w:rsidRPr="00377F60" w:rsidRDefault="00377F60" w:rsidP="008D2649">
      <w:pPr>
        <w:pStyle w:val="Els-Affiliation"/>
        <w:spacing w:after="120"/>
        <w:rPr>
          <w:lang w:val="pt-BR"/>
        </w:rPr>
      </w:pPr>
      <w:r w:rsidRPr="00377F60">
        <w:rPr>
          <w:lang w:val="pt-BR"/>
        </w:rPr>
        <w:t>karoline.dantas@ufcg.edu.br</w:t>
      </w:r>
    </w:p>
    <w:p w14:paraId="144DE684" w14:textId="77777777" w:rsidR="008D2649" w:rsidRPr="00377F60" w:rsidRDefault="008D2649" w:rsidP="008D2649">
      <w:pPr>
        <w:pStyle w:val="Els-Abstract"/>
        <w:rPr>
          <w:lang w:val="pt-BR"/>
        </w:rPr>
      </w:pPr>
      <w:r w:rsidRPr="00377F60">
        <w:rPr>
          <w:lang w:val="pt-BR"/>
        </w:rPr>
        <w:t>Abstract</w:t>
      </w:r>
    </w:p>
    <w:p w14:paraId="144DE686" w14:textId="7D37F7BE" w:rsidR="008D2649" w:rsidRDefault="00377F60" w:rsidP="008D2649">
      <w:pPr>
        <w:pStyle w:val="Els-body-text"/>
        <w:spacing w:after="120"/>
        <w:rPr>
          <w:lang w:val="en-GB"/>
        </w:rPr>
      </w:pPr>
      <w:r w:rsidRPr="00377F60">
        <w:rPr>
          <w:lang w:val="en-GB"/>
        </w:rPr>
        <w:t>Biological processes are the major source of lactic acid</w:t>
      </w:r>
      <w:r w:rsidR="00A22B87">
        <w:rPr>
          <w:lang w:val="en-GB"/>
        </w:rPr>
        <w:t xml:space="preserve">, one of the chemical </w:t>
      </w:r>
      <w:r w:rsidR="00A22B87" w:rsidRPr="00377F60">
        <w:rPr>
          <w:lang w:val="en-GB"/>
        </w:rPr>
        <w:t>commodities of great interest to the industry</w:t>
      </w:r>
      <w:r w:rsidR="00A22B87">
        <w:rPr>
          <w:lang w:val="en-GB"/>
        </w:rPr>
        <w:t>,</w:t>
      </w:r>
      <w:r w:rsidRPr="00377F60">
        <w:rPr>
          <w:lang w:val="en-GB"/>
        </w:rPr>
        <w:t xml:space="preserve"> because of the optical purity obtained in such processes. One of these processes can be the ethanol fermentation, which produces a considerable amount of lactic acid as by-product. However, </w:t>
      </w:r>
      <w:r>
        <w:rPr>
          <w:lang w:val="en-GB"/>
        </w:rPr>
        <w:t>fermentation</w:t>
      </w:r>
      <w:r w:rsidRPr="00377F60">
        <w:rPr>
          <w:lang w:val="en-GB"/>
        </w:rPr>
        <w:t xml:space="preserve"> results in high diluted streams with a considerable amount of other organic acids and impurities that bring more complexity to the purification process. Therefore, the objective of the present work is to develop the optimal design of the lactic acid recovery process from vinasse using intensification technologies such as mechanic vapor recompression and reactive divided wall column (RDWC). Two configurations were evaluated for the process, one conventional with reactor and column distillation, and an intensified with a single RDWC. The </w:t>
      </w:r>
      <w:r w:rsidR="00A502DD">
        <w:rPr>
          <w:lang w:val="en-GB"/>
        </w:rPr>
        <w:t>Total Annual Cost (</w:t>
      </w:r>
      <w:r w:rsidR="00F92705">
        <w:rPr>
          <w:lang w:val="en-GB"/>
        </w:rPr>
        <w:t>TAC</w:t>
      </w:r>
      <w:r w:rsidR="00A502DD">
        <w:rPr>
          <w:lang w:val="en-GB"/>
        </w:rPr>
        <w:t>)</w:t>
      </w:r>
      <w:r w:rsidRPr="00377F60">
        <w:rPr>
          <w:lang w:val="en-GB"/>
        </w:rPr>
        <w:t xml:space="preserve"> </w:t>
      </w:r>
      <w:r w:rsidR="00A502DD">
        <w:rPr>
          <w:lang w:val="en-GB"/>
        </w:rPr>
        <w:t>was optimized</w:t>
      </w:r>
      <w:r w:rsidRPr="00377F60">
        <w:rPr>
          <w:lang w:val="en-GB"/>
        </w:rPr>
        <w:t>, and the results compared in the bases of operational, economic, and environmental indicators. The intensified configuration presents the lowest TAC, but the capital cost of this process is a little higher than conventional configuration. In the other side, the conventional configuration, even with the lowest CAPEX, present high operational costs, and carbon emissions, beside more methanol consumption and water use</w:t>
      </w:r>
      <w:r w:rsidR="008D2649">
        <w:rPr>
          <w:lang w:val="en-GB"/>
        </w:rPr>
        <w:t>.</w:t>
      </w:r>
    </w:p>
    <w:p w14:paraId="144DE687" w14:textId="464B2050" w:rsidR="008D2649" w:rsidRDefault="008D2649" w:rsidP="008D2649">
      <w:pPr>
        <w:pStyle w:val="Els-body-text"/>
        <w:spacing w:after="120"/>
        <w:rPr>
          <w:lang w:val="en-GB"/>
        </w:rPr>
      </w:pPr>
      <w:r>
        <w:rPr>
          <w:b/>
          <w:bCs/>
          <w:lang w:val="en-GB"/>
        </w:rPr>
        <w:t>Keywords</w:t>
      </w:r>
      <w:r>
        <w:rPr>
          <w:lang w:val="en-GB"/>
        </w:rPr>
        <w:t xml:space="preserve">: </w:t>
      </w:r>
      <w:r w:rsidR="00F92705" w:rsidRPr="00F92705">
        <w:rPr>
          <w:lang w:val="en-GB"/>
        </w:rPr>
        <w:t xml:space="preserve">Reactive Distillation, </w:t>
      </w:r>
      <w:r w:rsidR="00A22B87">
        <w:rPr>
          <w:lang w:val="en-GB"/>
        </w:rPr>
        <w:t>Process Intensification</w:t>
      </w:r>
      <w:r w:rsidR="00F92705" w:rsidRPr="00F92705">
        <w:rPr>
          <w:lang w:val="en-GB"/>
        </w:rPr>
        <w:t>,</w:t>
      </w:r>
      <w:r w:rsidR="00F92705">
        <w:rPr>
          <w:lang w:val="en-GB"/>
        </w:rPr>
        <w:t xml:space="preserve"> </w:t>
      </w:r>
      <w:r w:rsidR="00F92705" w:rsidRPr="00F92705">
        <w:rPr>
          <w:lang w:val="en-GB"/>
        </w:rPr>
        <w:t>Lactic Acid Recovery</w:t>
      </w:r>
      <w:r>
        <w:rPr>
          <w:lang w:val="en-GB"/>
        </w:rPr>
        <w:t>.</w:t>
      </w:r>
    </w:p>
    <w:p w14:paraId="144DE689" w14:textId="5850CB46" w:rsidR="008D2649" w:rsidRDefault="009A4A6F" w:rsidP="008D2649">
      <w:pPr>
        <w:pStyle w:val="Els-1storder-head"/>
      </w:pPr>
      <w:r>
        <w:t>Introduction</w:t>
      </w:r>
    </w:p>
    <w:p w14:paraId="184C9D78" w14:textId="59EFC8F5" w:rsidR="006B1BDC" w:rsidRDefault="006B1BDC" w:rsidP="008D2649">
      <w:pPr>
        <w:pStyle w:val="Els-body-text"/>
      </w:pPr>
      <w:r w:rsidRPr="006B1BDC">
        <w:t>Lactic acid (</w:t>
      </w:r>
      <w:proofErr w:type="spellStart"/>
      <w:r w:rsidRPr="006B1BDC">
        <w:t>LAc</w:t>
      </w:r>
      <w:proofErr w:type="spellEnd"/>
      <w:r w:rsidRPr="006B1BDC">
        <w:t xml:space="preserve">) is one of the most important chemical commodities due to its </w:t>
      </w:r>
      <w:r>
        <w:t>large</w:t>
      </w:r>
      <w:r w:rsidRPr="006B1BDC">
        <w:t xml:space="preserve"> commercial application in the food and pharmaceutical industries. The </w:t>
      </w:r>
      <w:proofErr w:type="spellStart"/>
      <w:r w:rsidRPr="006B1BDC">
        <w:t>LAc</w:t>
      </w:r>
      <w:proofErr w:type="spellEnd"/>
      <w:r w:rsidRPr="006B1BDC">
        <w:t xml:space="preserve"> molecule has a chiral carbon that gives it optical activity, and, therefore, can be found in two optical isomers: </w:t>
      </w:r>
      <w:proofErr w:type="gramStart"/>
      <w:r w:rsidRPr="006B1BDC">
        <w:t>D(</w:t>
      </w:r>
      <w:proofErr w:type="gramEnd"/>
      <w:r w:rsidRPr="006B1BDC">
        <w:t>-)-</w:t>
      </w:r>
      <w:proofErr w:type="spellStart"/>
      <w:r w:rsidRPr="006B1BDC">
        <w:t>LAc</w:t>
      </w:r>
      <w:proofErr w:type="spellEnd"/>
      <w:r w:rsidRPr="006B1BDC">
        <w:t xml:space="preserve"> and L(+)-</w:t>
      </w:r>
      <w:proofErr w:type="spellStart"/>
      <w:r w:rsidRPr="006B1BDC">
        <w:t>LAc</w:t>
      </w:r>
      <w:proofErr w:type="spellEnd"/>
      <w:r w:rsidRPr="006B1BDC">
        <w:t>, the latter being the most desired in the industry as it does not pose risks to human health.</w:t>
      </w:r>
      <w:r>
        <w:t xml:space="preserve"> </w:t>
      </w:r>
      <w:r w:rsidRPr="006B1BDC">
        <w:t xml:space="preserve">The </w:t>
      </w:r>
      <w:r>
        <w:t>request</w:t>
      </w:r>
      <w:r w:rsidRPr="006B1BDC">
        <w:t xml:space="preserve"> for optical purity </w:t>
      </w:r>
      <w:r>
        <w:t>implies in the fact that</w:t>
      </w:r>
      <w:r w:rsidRPr="006B1BDC">
        <w:t>, currently, 90% of the world's lactic acid production occurs via biotechnological routes.</w:t>
      </w:r>
    </w:p>
    <w:p w14:paraId="34113A22" w14:textId="43CEB51D" w:rsidR="00B72D01" w:rsidRDefault="00B72D01" w:rsidP="008D2649">
      <w:pPr>
        <w:pStyle w:val="Els-body-text"/>
      </w:pPr>
      <w:r w:rsidRPr="00B72D01">
        <w:t xml:space="preserve">The use of biotechnological routes, however, presents some disadvantages, such as high dilution, presence of other organic acids and impurities, and </w:t>
      </w:r>
      <w:r>
        <w:t xml:space="preserve">the </w:t>
      </w:r>
      <w:r w:rsidRPr="00B72D01">
        <w:t xml:space="preserve">strong </w:t>
      </w:r>
      <w:r>
        <w:t>interaction between lactic and water</w:t>
      </w:r>
      <w:r w:rsidRPr="00B72D01">
        <w:t xml:space="preserve"> </w:t>
      </w:r>
      <w:r w:rsidR="00FF3ECD">
        <w:t>(</w:t>
      </w:r>
      <w:r w:rsidR="00FF3ECD" w:rsidRPr="00FF3ECD">
        <w:t>GONZÁLEZ-NAVARRETE</w:t>
      </w:r>
      <w:r w:rsidR="00FF3ECD">
        <w:t xml:space="preserve"> </w:t>
      </w:r>
      <w:r w:rsidR="00FF3ECD">
        <w:rPr>
          <w:i/>
          <w:iCs/>
        </w:rPr>
        <w:t>et al.</w:t>
      </w:r>
      <w:r w:rsidR="00FF3ECD" w:rsidRPr="00FF3ECD">
        <w:rPr>
          <w:i/>
          <w:iCs/>
        </w:rPr>
        <w:t>,</w:t>
      </w:r>
      <w:r w:rsidR="00FF3ECD">
        <w:t xml:space="preserve"> 2022)</w:t>
      </w:r>
      <w:r w:rsidRPr="00B72D01">
        <w:t xml:space="preserve">. Therefore, several purification methods have been investigated such as precipitation, extraction, adsorption, short-path evaporation, and membrane separation, but the most </w:t>
      </w:r>
      <w:r>
        <w:t>used in the literature</w:t>
      </w:r>
      <w:r w:rsidRPr="00B72D01">
        <w:t xml:space="preserve"> is </w:t>
      </w:r>
      <w:r>
        <w:t xml:space="preserve">the </w:t>
      </w:r>
      <w:r w:rsidRPr="00B72D01">
        <w:t>reactive distillation (RD)</w:t>
      </w:r>
      <w:r>
        <w:t xml:space="preserve"> technology</w:t>
      </w:r>
      <w:r w:rsidRPr="00B72D01">
        <w:t>.</w:t>
      </w:r>
      <w:r>
        <w:t xml:space="preserve"> In this process, lactic acid reacts with an alcohol, especially methanol, to form an ester</w:t>
      </w:r>
      <w:r w:rsidRPr="00B72D01">
        <w:t xml:space="preserve">. As the ester formed has greater thermal stability than </w:t>
      </w:r>
      <w:r w:rsidR="002A403B">
        <w:t>the lactic acid</w:t>
      </w:r>
      <w:r w:rsidRPr="00B72D01">
        <w:t>, it is recovered in a distillation column and is subsequently hydrolyzed to form lactic acid again in a reactive distillation column</w:t>
      </w:r>
      <w:r w:rsidR="00FF3ECD">
        <w:t xml:space="preserve"> (</w:t>
      </w:r>
      <w:r w:rsidR="00FF3ECD" w:rsidRPr="00FF3ECD">
        <w:t>PAZMIÑO-MAYORGA</w:t>
      </w:r>
      <w:r w:rsidR="00FF3ECD">
        <w:t xml:space="preserve"> </w:t>
      </w:r>
      <w:r w:rsidR="00FF3ECD">
        <w:rPr>
          <w:i/>
          <w:iCs/>
        </w:rPr>
        <w:t>et al.,</w:t>
      </w:r>
      <w:r w:rsidR="00FF3ECD">
        <w:t xml:space="preserve"> 2021)</w:t>
      </w:r>
      <w:r w:rsidRPr="00B72D01">
        <w:t>.</w:t>
      </w:r>
    </w:p>
    <w:p w14:paraId="14DF37FD" w14:textId="37B7BB95" w:rsidR="002A403B" w:rsidRDefault="002A403B" w:rsidP="008D2649">
      <w:pPr>
        <w:pStyle w:val="Els-body-text"/>
      </w:pPr>
      <w:r w:rsidRPr="002A403B">
        <w:lastRenderedPageBreak/>
        <w:t xml:space="preserve">Given the importance of lactic acid </w:t>
      </w:r>
      <w:r>
        <w:t xml:space="preserve">to the industry </w:t>
      </w:r>
      <w:r w:rsidRPr="002A403B">
        <w:t xml:space="preserve">and the need to reduce </w:t>
      </w:r>
      <w:r>
        <w:t>or</w:t>
      </w:r>
      <w:r w:rsidRPr="002A403B">
        <w:t xml:space="preserve"> reuse industrial waste, the objective of this </w:t>
      </w:r>
      <w:r>
        <w:t>work</w:t>
      </w:r>
      <w:r w:rsidRPr="002A403B">
        <w:t xml:space="preserve"> is to develop a process for recovering the lactic acid present in vinasse produced during ethanol fermentation. The main contributions of this work to the existing literature consist of considering multiple species in the </w:t>
      </w:r>
      <w:r>
        <w:t>feed stream</w:t>
      </w:r>
      <w:r w:rsidRPr="002A403B">
        <w:t xml:space="preserve">, which directly impacts methanol consumption and energy supply, and evaluating the recovery of </w:t>
      </w:r>
      <w:r>
        <w:t>lactic acid</w:t>
      </w:r>
      <w:r w:rsidRPr="002A403B">
        <w:t xml:space="preserve"> at lower concentration levels, </w:t>
      </w:r>
      <w:r w:rsidR="00F102C7">
        <w:t>with 2</w:t>
      </w:r>
      <w:r w:rsidRPr="002A403B">
        <w:t>% wt.</w:t>
      </w:r>
    </w:p>
    <w:p w14:paraId="144DE699" w14:textId="1FB071B9" w:rsidR="008D2649" w:rsidRDefault="002A403B" w:rsidP="008D2649">
      <w:pPr>
        <w:pStyle w:val="Els-1storder-head"/>
      </w:pPr>
      <w:r>
        <w:t>Process Design</w:t>
      </w:r>
    </w:p>
    <w:p w14:paraId="41BC9FD0" w14:textId="79AC8C0D" w:rsidR="002A403B" w:rsidRDefault="002A403B" w:rsidP="00BB553C">
      <w:pPr>
        <w:pStyle w:val="Els-body-text"/>
        <w:spacing w:after="120"/>
      </w:pPr>
      <w:r w:rsidRPr="002A403B">
        <w:t xml:space="preserve">The process </w:t>
      </w:r>
      <w:r w:rsidR="00A75E00">
        <w:t>to</w:t>
      </w:r>
      <w:r w:rsidRPr="002A403B">
        <w:t xml:space="preserve"> </w:t>
      </w:r>
      <w:r w:rsidR="00A75E00">
        <w:t>produce</w:t>
      </w:r>
      <w:r w:rsidRPr="002A403B">
        <w:t xml:space="preserve"> lactic acid </w:t>
      </w:r>
      <w:r w:rsidR="00A75E00">
        <w:t xml:space="preserve">from vinasse consists of </w:t>
      </w:r>
      <w:r w:rsidRPr="002A403B">
        <w:t xml:space="preserve">three </w:t>
      </w:r>
      <w:r w:rsidR="00A75E00">
        <w:t>areas</w:t>
      </w:r>
      <w:r w:rsidRPr="002A403B">
        <w:t xml:space="preserve">, as highlighted in </w:t>
      </w:r>
      <w:r w:rsidR="00A75E00">
        <w:fldChar w:fldCharType="begin"/>
      </w:r>
      <w:r w:rsidR="00A75E00">
        <w:instrText xml:space="preserve"> REF _Ref150955580 \h </w:instrText>
      </w:r>
      <w:r w:rsidR="00A75E00">
        <w:fldChar w:fldCharType="separate"/>
      </w:r>
      <w:r w:rsidR="00A75E00">
        <w:t xml:space="preserve">Figure </w:t>
      </w:r>
      <w:r w:rsidR="00A75E00">
        <w:rPr>
          <w:noProof/>
        </w:rPr>
        <w:t>1</w:t>
      </w:r>
      <w:r w:rsidR="00A75E00">
        <w:fldChar w:fldCharType="end"/>
      </w:r>
      <w:r w:rsidRPr="002A403B">
        <w:t>. The process flow</w:t>
      </w:r>
      <w:r w:rsidR="00A75E00">
        <w:t>sheet</w:t>
      </w:r>
      <w:r w:rsidRPr="002A403B">
        <w:t xml:space="preserve"> was </w:t>
      </w:r>
      <w:r w:rsidR="00A75E00">
        <w:t>modeled</w:t>
      </w:r>
      <w:r w:rsidRPr="002A403B">
        <w:t xml:space="preserve"> using Aspen Plus V12 software. </w:t>
      </w:r>
      <w:r w:rsidR="00A75E00">
        <w:t>UNIQUAC-HOC was the</w:t>
      </w:r>
      <w:r w:rsidRPr="002A403B">
        <w:t xml:space="preserve"> thermodynamic model used, which uses the UNIQUAC equation to predict the non-ideality of the liquid phase and the Hayden O'Connell equation of state to predict the dimerization of organic acids in the vapor phase.</w:t>
      </w:r>
    </w:p>
    <w:p w14:paraId="2E17351E" w14:textId="77777777" w:rsidR="00A75E00" w:rsidRDefault="00A75E00" w:rsidP="002A403B">
      <w:pPr>
        <w:pStyle w:val="Els-body-text"/>
      </w:pPr>
    </w:p>
    <w:p w14:paraId="1F23A3A0" w14:textId="77777777" w:rsidR="00A75E00" w:rsidRDefault="00A75E00" w:rsidP="00A75E00">
      <w:pPr>
        <w:pStyle w:val="Els-body-text"/>
        <w:keepNext/>
        <w:jc w:val="center"/>
      </w:pPr>
      <w:r>
        <w:rPr>
          <w:noProof/>
        </w:rPr>
        <w:drawing>
          <wp:inline distT="0" distB="0" distL="0" distR="0" wp14:anchorId="3096BA34" wp14:editId="1EB33602">
            <wp:extent cx="4499610" cy="1505272"/>
            <wp:effectExtent l="0" t="0" r="0" b="0"/>
            <wp:docPr id="171132089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20898" name="Gráfico 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499610" cy="1505272"/>
                    </a:xfrm>
                    <a:prstGeom prst="rect">
                      <a:avLst/>
                    </a:prstGeom>
                  </pic:spPr>
                </pic:pic>
              </a:graphicData>
            </a:graphic>
          </wp:inline>
        </w:drawing>
      </w:r>
    </w:p>
    <w:p w14:paraId="3A7B0F06" w14:textId="3D3ED316" w:rsidR="00A75E00" w:rsidRDefault="00A75E00" w:rsidP="00A75E00">
      <w:pPr>
        <w:pStyle w:val="Legenda"/>
        <w:jc w:val="both"/>
      </w:pPr>
      <w:bookmarkStart w:id="0" w:name="_Ref150955580"/>
      <w:r>
        <w:t xml:space="preserve">Figure </w:t>
      </w:r>
      <w:r>
        <w:fldChar w:fldCharType="begin"/>
      </w:r>
      <w:r>
        <w:instrText xml:space="preserve"> SEQ Figure \* ARABIC </w:instrText>
      </w:r>
      <w:r>
        <w:fldChar w:fldCharType="separate"/>
      </w:r>
      <w:r w:rsidR="00333B32">
        <w:rPr>
          <w:noProof/>
        </w:rPr>
        <w:t>1</w:t>
      </w:r>
      <w:r>
        <w:fldChar w:fldCharType="end"/>
      </w:r>
      <w:bookmarkEnd w:id="0"/>
      <w:r>
        <w:t>. P</w:t>
      </w:r>
      <w:r w:rsidRPr="002906A3">
        <w:t xml:space="preserve">rocess flowsheet </w:t>
      </w:r>
      <w:r w:rsidR="007E5734" w:rsidRPr="002906A3">
        <w:t>to produce</w:t>
      </w:r>
      <w:r w:rsidRPr="002906A3">
        <w:t xml:space="preserve"> lactic acid from vinasse</w:t>
      </w:r>
      <w:r>
        <w:t>.</w:t>
      </w:r>
    </w:p>
    <w:p w14:paraId="5714740D" w14:textId="5EFD3266" w:rsidR="007E5734" w:rsidRDefault="007E5734" w:rsidP="002A403B">
      <w:pPr>
        <w:pStyle w:val="Els-body-text"/>
      </w:pPr>
      <w:r w:rsidRPr="007E5734">
        <w:t xml:space="preserve">The first area of the process is pre-concentration, in which the vinasse </w:t>
      </w:r>
      <w:r>
        <w:t>feeds a</w:t>
      </w:r>
      <w:r w:rsidRPr="007E5734">
        <w:t xml:space="preserve"> triple-effect evaporation so that most of the water is removed. This removal is necessary because esterification reactions are limited by chemical equilibrium, even in the presence of catalysts </w:t>
      </w:r>
      <w:r w:rsidR="00FF3ECD">
        <w:t xml:space="preserve">(PÖPKEN </w:t>
      </w:r>
      <w:r w:rsidR="00FF3ECD">
        <w:rPr>
          <w:i/>
          <w:iCs/>
        </w:rPr>
        <w:t xml:space="preserve">et al., </w:t>
      </w:r>
      <w:r w:rsidR="00FF3ECD">
        <w:t>2000)</w:t>
      </w:r>
      <w:r>
        <w:t>, and the presence of water directs the reaction toward the reactants</w:t>
      </w:r>
      <w:r w:rsidRPr="007E5734">
        <w:t xml:space="preserve">. In this </w:t>
      </w:r>
      <w:r>
        <w:t>paper</w:t>
      </w:r>
      <w:r w:rsidRPr="007E5734">
        <w:t xml:space="preserve">, the vapor produced in the last stage of evaporation is used as a heating fluid at some points in the process </w:t>
      </w:r>
      <w:r>
        <w:t>after</w:t>
      </w:r>
      <w:r w:rsidRPr="007E5734">
        <w:t xml:space="preserve"> mechanical vapor recompression (MVR) </w:t>
      </w:r>
      <w:r w:rsidR="00FF3ECD">
        <w:t>(</w:t>
      </w:r>
      <w:r w:rsidR="00FF3ECD" w:rsidRPr="000F6814">
        <w:t>CARNEIRO</w:t>
      </w:r>
      <w:r w:rsidR="00FF3ECD">
        <w:t xml:space="preserve"> </w:t>
      </w:r>
      <w:r w:rsidR="00FF3ECD">
        <w:rPr>
          <w:i/>
          <w:iCs/>
        </w:rPr>
        <w:t xml:space="preserve">et al., </w:t>
      </w:r>
      <w:r w:rsidR="00FF3ECD">
        <w:t>2022)</w:t>
      </w:r>
      <w:r w:rsidRPr="007E5734">
        <w:t>.</w:t>
      </w:r>
    </w:p>
    <w:p w14:paraId="65E7874C" w14:textId="1DD2D1CC" w:rsidR="007E5734" w:rsidRDefault="008D3F1A" w:rsidP="002A403B">
      <w:pPr>
        <w:pStyle w:val="Els-body-text"/>
      </w:pPr>
      <w:r w:rsidRPr="008D3F1A">
        <w:t>After pre-concentration, the concentrated vinasse is sent to the acid recovery and purification area, where lactic acid (</w:t>
      </w:r>
      <w:proofErr w:type="spellStart"/>
      <w:r w:rsidRPr="008D3F1A">
        <w:t>LAc</w:t>
      </w:r>
      <w:proofErr w:type="spellEnd"/>
      <w:r w:rsidRPr="008D3F1A">
        <w:t>) is esterified with methanol (MeOH), forming methyl lactate (</w:t>
      </w:r>
      <w:proofErr w:type="spellStart"/>
      <w:r w:rsidRPr="008D3F1A">
        <w:t>MetLAc</w:t>
      </w:r>
      <w:proofErr w:type="spellEnd"/>
      <w:r w:rsidRPr="008D3F1A">
        <w:t>). Next, methyl lactate is separated from the remaining esters and organic acids and hydrolyzed into lactic acid.</w:t>
      </w:r>
    </w:p>
    <w:p w14:paraId="0E9BE34E" w14:textId="4F32692E" w:rsidR="008D3F1A" w:rsidRDefault="008D3F1A" w:rsidP="00DF1EB6">
      <w:pPr>
        <w:pStyle w:val="Els-body-text"/>
        <w:spacing w:after="120"/>
      </w:pPr>
      <w:r w:rsidRPr="008D3F1A">
        <w:t xml:space="preserve">To increase the esterification conversion, the </w:t>
      </w:r>
      <w:proofErr w:type="spellStart"/>
      <w:r w:rsidRPr="008D3F1A">
        <w:t>Amberlyst</w:t>
      </w:r>
      <w:proofErr w:type="spellEnd"/>
      <w:r w:rsidRPr="008D3F1A">
        <w:t xml:space="preserve"> 15 ion exchange was used as a catalyst</w:t>
      </w:r>
      <w:r w:rsidR="00FD7052">
        <w:t xml:space="preserve"> </w:t>
      </w:r>
      <w:r w:rsidR="00FF3ECD">
        <w:t xml:space="preserve">(PÖPKEN </w:t>
      </w:r>
      <w:r w:rsidR="00FF3ECD">
        <w:rPr>
          <w:i/>
          <w:iCs/>
        </w:rPr>
        <w:t xml:space="preserve">et al., </w:t>
      </w:r>
      <w:r w:rsidR="00FF3ECD">
        <w:t xml:space="preserve">2000; </w:t>
      </w:r>
      <w:r w:rsidR="00FF3ECD" w:rsidRPr="00FF3ECD">
        <w:t>PAZMIÑO-MAYORGA</w:t>
      </w:r>
      <w:r w:rsidR="00FF3ECD">
        <w:t xml:space="preserve"> </w:t>
      </w:r>
      <w:r w:rsidR="00FF3ECD">
        <w:rPr>
          <w:i/>
          <w:iCs/>
        </w:rPr>
        <w:t>et al.,</w:t>
      </w:r>
      <w:r w:rsidR="00FF3ECD">
        <w:t xml:space="preserve"> 2021)</w:t>
      </w:r>
      <w:r w:rsidRPr="008D3F1A">
        <w:t xml:space="preserve">. </w:t>
      </w:r>
      <w:r w:rsidR="00A9120F">
        <w:t>T</w:t>
      </w:r>
      <w:r w:rsidRPr="008D3F1A">
        <w:t>he reactions considered in the process modeling</w:t>
      </w:r>
      <w:r w:rsidR="00A9120F">
        <w:t xml:space="preserve"> are shown below in Eq. (1) to Eq. (6)</w:t>
      </w:r>
      <w:r w:rsidRPr="008D3F1A">
        <w:t>.</w:t>
      </w:r>
    </w:p>
    <w:tbl>
      <w:tblPr>
        <w:tblStyle w:val="Tabelacomgrade"/>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8"/>
        <w:gridCol w:w="450"/>
      </w:tblGrid>
      <w:tr w:rsidR="008D3F1A" w14:paraId="7436F07A" w14:textId="77777777" w:rsidTr="003E3F3C">
        <w:tc>
          <w:tcPr>
            <w:tcW w:w="6638" w:type="dxa"/>
            <w:vAlign w:val="center"/>
          </w:tcPr>
          <w:p w14:paraId="2C66CDDB" w14:textId="427D365B" w:rsidR="008D3F1A" w:rsidRPr="008D3F1A" w:rsidRDefault="00000000" w:rsidP="003923BE">
            <w:pPr>
              <w:spacing w:before="120" w:after="120"/>
              <w:rPr>
                <w:rFonts w:ascii="Cambria Math" w:hAnsi="Cambria Math"/>
                <w:i/>
                <w:iCs/>
                <w:sz w:val="20"/>
                <w:szCs w:val="12"/>
              </w:rPr>
            </w:pPr>
            <m:oMathPara>
              <m:oMathParaPr>
                <m:jc m:val="left"/>
              </m:oMathParaPr>
              <m:oMath>
                <m:sSub>
                  <m:sSubPr>
                    <m:ctrlPr>
                      <w:rPr>
                        <w:rFonts w:ascii="Cambria Math" w:hAnsi="Cambria Math"/>
                        <w:i/>
                        <w:iCs/>
                        <w:sz w:val="20"/>
                        <w:szCs w:val="12"/>
                      </w:rPr>
                    </m:ctrlPr>
                  </m:sSubPr>
                  <m:e>
                    <m:r>
                      <w:rPr>
                        <w:rFonts w:ascii="Cambria Math" w:hAnsi="Cambria Math"/>
                        <w:sz w:val="20"/>
                        <w:szCs w:val="12"/>
                      </w:rPr>
                      <m:t>C</m:t>
                    </m:r>
                  </m:e>
                  <m:sub>
                    <m:r>
                      <w:rPr>
                        <w:rFonts w:ascii="Cambria Math" w:hAnsi="Cambria Math"/>
                        <w:sz w:val="20"/>
                        <w:szCs w:val="12"/>
                      </w:rPr>
                      <m:t>3</m:t>
                    </m:r>
                  </m:sub>
                </m:sSub>
                <m:sSub>
                  <m:sSubPr>
                    <m:ctrlPr>
                      <w:rPr>
                        <w:rFonts w:ascii="Cambria Math" w:hAnsi="Cambria Math"/>
                        <w:i/>
                        <w:iCs/>
                        <w:sz w:val="20"/>
                        <w:szCs w:val="12"/>
                      </w:rPr>
                    </m:ctrlPr>
                  </m:sSubPr>
                  <m:e>
                    <m:r>
                      <w:rPr>
                        <w:rFonts w:ascii="Cambria Math" w:hAnsi="Cambria Math"/>
                        <w:sz w:val="20"/>
                        <w:szCs w:val="12"/>
                      </w:rPr>
                      <m:t>H</m:t>
                    </m:r>
                  </m:e>
                  <m:sub>
                    <m:r>
                      <w:rPr>
                        <w:rFonts w:ascii="Cambria Math" w:hAnsi="Cambria Math"/>
                        <w:sz w:val="20"/>
                        <w:szCs w:val="12"/>
                      </w:rPr>
                      <m:t>6</m:t>
                    </m:r>
                  </m:sub>
                </m:sSub>
                <m:sSub>
                  <m:sSubPr>
                    <m:ctrlPr>
                      <w:rPr>
                        <w:rFonts w:ascii="Cambria Math" w:hAnsi="Cambria Math"/>
                        <w:i/>
                        <w:iCs/>
                        <w:sz w:val="20"/>
                        <w:szCs w:val="12"/>
                      </w:rPr>
                    </m:ctrlPr>
                  </m:sSubPr>
                  <m:e>
                    <m:r>
                      <w:rPr>
                        <w:rFonts w:ascii="Cambria Math" w:hAnsi="Cambria Math"/>
                        <w:sz w:val="20"/>
                        <w:szCs w:val="12"/>
                      </w:rPr>
                      <m:t>O</m:t>
                    </m:r>
                  </m:e>
                  <m:sub>
                    <m:r>
                      <w:rPr>
                        <w:rFonts w:ascii="Cambria Math" w:hAnsi="Cambria Math"/>
                        <w:sz w:val="20"/>
                        <w:szCs w:val="12"/>
                      </w:rPr>
                      <m:t>3</m:t>
                    </m:r>
                  </m:sub>
                </m:sSub>
                <m:r>
                  <w:rPr>
                    <w:rFonts w:ascii="Cambria Math" w:hAnsi="Cambria Math"/>
                    <w:sz w:val="20"/>
                    <w:szCs w:val="12"/>
                  </w:rPr>
                  <m:t xml:space="preserve"> </m:t>
                </m:r>
                <m:d>
                  <m:dPr>
                    <m:ctrlPr>
                      <w:rPr>
                        <w:rFonts w:ascii="Cambria Math" w:hAnsi="Cambria Math"/>
                        <w:i/>
                        <w:iCs/>
                        <w:sz w:val="20"/>
                        <w:szCs w:val="12"/>
                      </w:rPr>
                    </m:ctrlPr>
                  </m:dPr>
                  <m:e>
                    <m:r>
                      <w:rPr>
                        <w:rFonts w:ascii="Cambria Math" w:hAnsi="Cambria Math"/>
                        <w:sz w:val="20"/>
                        <w:szCs w:val="12"/>
                      </w:rPr>
                      <m:t>LAc</m:t>
                    </m:r>
                  </m:e>
                </m:d>
                <m:r>
                  <w:rPr>
                    <w:rFonts w:ascii="Cambria Math" w:hAnsi="Cambria Math"/>
                    <w:sz w:val="20"/>
                    <w:szCs w:val="12"/>
                  </w:rPr>
                  <m:t>+C</m:t>
                </m:r>
                <m:sSub>
                  <m:sSubPr>
                    <m:ctrlPr>
                      <w:rPr>
                        <w:rFonts w:ascii="Cambria Math" w:hAnsi="Cambria Math"/>
                        <w:i/>
                        <w:iCs/>
                        <w:sz w:val="20"/>
                        <w:szCs w:val="12"/>
                      </w:rPr>
                    </m:ctrlPr>
                  </m:sSubPr>
                  <m:e>
                    <m:r>
                      <w:rPr>
                        <w:rFonts w:ascii="Cambria Math" w:hAnsi="Cambria Math"/>
                        <w:sz w:val="20"/>
                        <w:szCs w:val="12"/>
                      </w:rPr>
                      <m:t>H</m:t>
                    </m:r>
                  </m:e>
                  <m:sub>
                    <m:r>
                      <w:rPr>
                        <w:rFonts w:ascii="Cambria Math" w:hAnsi="Cambria Math"/>
                        <w:sz w:val="20"/>
                        <w:szCs w:val="12"/>
                      </w:rPr>
                      <m:t>3</m:t>
                    </m:r>
                  </m:sub>
                </m:sSub>
                <m:r>
                  <w:rPr>
                    <w:rFonts w:ascii="Cambria Math" w:hAnsi="Cambria Math"/>
                    <w:sz w:val="20"/>
                    <w:szCs w:val="12"/>
                  </w:rPr>
                  <m:t>OH</m:t>
                </m:r>
                <m:d>
                  <m:dPr>
                    <m:ctrlPr>
                      <w:rPr>
                        <w:rFonts w:ascii="Cambria Math" w:hAnsi="Cambria Math"/>
                        <w:i/>
                        <w:iCs/>
                        <w:sz w:val="20"/>
                        <w:szCs w:val="12"/>
                      </w:rPr>
                    </m:ctrlPr>
                  </m:dPr>
                  <m:e>
                    <m:r>
                      <w:rPr>
                        <w:rFonts w:ascii="Cambria Math" w:hAnsi="Cambria Math"/>
                        <w:sz w:val="20"/>
                        <w:szCs w:val="12"/>
                      </w:rPr>
                      <m:t>MeOH</m:t>
                    </m:r>
                  </m:e>
                </m:d>
                <m:r>
                  <w:rPr>
                    <w:rFonts w:ascii="Cambria Math" w:hAnsi="Cambria Math"/>
                    <w:sz w:val="20"/>
                    <w:szCs w:val="12"/>
                  </w:rPr>
                  <m:t>↔</m:t>
                </m:r>
                <m:sSub>
                  <m:sSubPr>
                    <m:ctrlPr>
                      <w:rPr>
                        <w:rFonts w:ascii="Cambria Math" w:hAnsi="Cambria Math"/>
                        <w:i/>
                        <w:iCs/>
                        <w:sz w:val="20"/>
                        <w:szCs w:val="12"/>
                      </w:rPr>
                    </m:ctrlPr>
                  </m:sSubPr>
                  <m:e>
                    <m:r>
                      <w:rPr>
                        <w:rFonts w:ascii="Cambria Math" w:hAnsi="Cambria Math"/>
                        <w:sz w:val="20"/>
                        <w:szCs w:val="12"/>
                      </w:rPr>
                      <m:t>C</m:t>
                    </m:r>
                  </m:e>
                  <m:sub>
                    <m:r>
                      <w:rPr>
                        <w:rFonts w:ascii="Cambria Math" w:hAnsi="Cambria Math"/>
                        <w:sz w:val="20"/>
                        <w:szCs w:val="12"/>
                      </w:rPr>
                      <m:t>4</m:t>
                    </m:r>
                  </m:sub>
                </m:sSub>
                <m:sSub>
                  <m:sSubPr>
                    <m:ctrlPr>
                      <w:rPr>
                        <w:rFonts w:ascii="Cambria Math" w:hAnsi="Cambria Math"/>
                        <w:i/>
                        <w:iCs/>
                        <w:sz w:val="20"/>
                        <w:szCs w:val="12"/>
                      </w:rPr>
                    </m:ctrlPr>
                  </m:sSubPr>
                  <m:e>
                    <m:r>
                      <w:rPr>
                        <w:rFonts w:ascii="Cambria Math" w:hAnsi="Cambria Math"/>
                        <w:sz w:val="20"/>
                        <w:szCs w:val="12"/>
                      </w:rPr>
                      <m:t>H</m:t>
                    </m:r>
                  </m:e>
                  <m:sub>
                    <m:r>
                      <w:rPr>
                        <w:rFonts w:ascii="Cambria Math" w:hAnsi="Cambria Math"/>
                        <w:sz w:val="20"/>
                        <w:szCs w:val="12"/>
                      </w:rPr>
                      <m:t>8</m:t>
                    </m:r>
                  </m:sub>
                </m:sSub>
                <m:sSub>
                  <m:sSubPr>
                    <m:ctrlPr>
                      <w:rPr>
                        <w:rFonts w:ascii="Cambria Math" w:hAnsi="Cambria Math"/>
                        <w:i/>
                        <w:iCs/>
                        <w:sz w:val="20"/>
                        <w:szCs w:val="12"/>
                      </w:rPr>
                    </m:ctrlPr>
                  </m:sSubPr>
                  <m:e>
                    <m:r>
                      <w:rPr>
                        <w:rFonts w:ascii="Cambria Math" w:hAnsi="Cambria Math"/>
                        <w:sz w:val="20"/>
                        <w:szCs w:val="12"/>
                      </w:rPr>
                      <m:t>O</m:t>
                    </m:r>
                  </m:e>
                  <m:sub>
                    <m:r>
                      <w:rPr>
                        <w:rFonts w:ascii="Cambria Math" w:hAnsi="Cambria Math"/>
                        <w:sz w:val="20"/>
                        <w:szCs w:val="12"/>
                      </w:rPr>
                      <m:t>3</m:t>
                    </m:r>
                  </m:sub>
                </m:sSub>
                <m:d>
                  <m:dPr>
                    <m:ctrlPr>
                      <w:rPr>
                        <w:rFonts w:ascii="Cambria Math" w:hAnsi="Cambria Math"/>
                        <w:i/>
                        <w:iCs/>
                        <w:sz w:val="20"/>
                        <w:szCs w:val="12"/>
                      </w:rPr>
                    </m:ctrlPr>
                  </m:dPr>
                  <m:e>
                    <m:r>
                      <w:rPr>
                        <w:rFonts w:ascii="Cambria Math" w:hAnsi="Cambria Math"/>
                        <w:sz w:val="20"/>
                        <w:szCs w:val="12"/>
                      </w:rPr>
                      <m:t>MetLAc</m:t>
                    </m:r>
                  </m:e>
                </m:d>
                <m:r>
                  <w:rPr>
                    <w:rFonts w:ascii="Cambria Math" w:hAnsi="Cambria Math"/>
                    <w:sz w:val="20"/>
                    <w:szCs w:val="12"/>
                  </w:rPr>
                  <m:t>+</m:t>
                </m:r>
                <m:sSub>
                  <m:sSubPr>
                    <m:ctrlPr>
                      <w:rPr>
                        <w:rFonts w:ascii="Cambria Math" w:hAnsi="Cambria Math"/>
                        <w:i/>
                        <w:iCs/>
                        <w:sz w:val="20"/>
                        <w:szCs w:val="12"/>
                      </w:rPr>
                    </m:ctrlPr>
                  </m:sSubPr>
                  <m:e>
                    <m:r>
                      <w:rPr>
                        <w:rFonts w:ascii="Cambria Math" w:hAnsi="Cambria Math"/>
                        <w:sz w:val="20"/>
                        <w:szCs w:val="12"/>
                      </w:rPr>
                      <m:t>H</m:t>
                    </m:r>
                  </m:e>
                  <m:sub>
                    <m:r>
                      <w:rPr>
                        <w:rFonts w:ascii="Cambria Math" w:hAnsi="Cambria Math"/>
                        <w:sz w:val="20"/>
                        <w:szCs w:val="12"/>
                      </w:rPr>
                      <m:t>2</m:t>
                    </m:r>
                  </m:sub>
                </m:sSub>
                <m:r>
                  <w:rPr>
                    <w:rFonts w:ascii="Cambria Math" w:hAnsi="Cambria Math"/>
                    <w:sz w:val="20"/>
                    <w:szCs w:val="12"/>
                  </w:rPr>
                  <m:t>O</m:t>
                </m:r>
              </m:oMath>
            </m:oMathPara>
          </w:p>
        </w:tc>
        <w:tc>
          <w:tcPr>
            <w:tcW w:w="450" w:type="dxa"/>
            <w:vAlign w:val="center"/>
          </w:tcPr>
          <w:p w14:paraId="7EF410D6" w14:textId="51CDE3A8" w:rsidR="008D3F1A" w:rsidRPr="008D3F1A" w:rsidRDefault="008D3F1A" w:rsidP="003923BE">
            <w:pPr>
              <w:spacing w:before="120" w:after="120"/>
              <w:jc w:val="right"/>
              <w:rPr>
                <w:sz w:val="20"/>
                <w:szCs w:val="12"/>
              </w:rPr>
            </w:pPr>
            <w:r w:rsidRPr="008D3F1A">
              <w:rPr>
                <w:sz w:val="20"/>
                <w:szCs w:val="12"/>
              </w:rPr>
              <w:t>(1)</w:t>
            </w:r>
          </w:p>
        </w:tc>
      </w:tr>
      <w:tr w:rsidR="008D3F1A" w14:paraId="7C58C67F" w14:textId="77777777" w:rsidTr="003E3F3C">
        <w:tc>
          <w:tcPr>
            <w:tcW w:w="6638" w:type="dxa"/>
            <w:vAlign w:val="center"/>
          </w:tcPr>
          <w:p w14:paraId="7AB47992" w14:textId="3F3B723A" w:rsidR="008D3F1A" w:rsidRPr="008D3F1A" w:rsidRDefault="00000000" w:rsidP="003923BE">
            <w:pPr>
              <w:spacing w:before="120" w:after="120"/>
              <w:rPr>
                <w:rFonts w:eastAsia="Calibri" w:cs="Times New Roman"/>
                <w:i/>
                <w:iCs/>
                <w:sz w:val="20"/>
                <w:szCs w:val="12"/>
              </w:rPr>
            </w:pPr>
            <m:oMathPara>
              <m:oMathParaPr>
                <m:jc m:val="left"/>
              </m:oMathParaPr>
              <m:oMath>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C</m:t>
                    </m:r>
                  </m:e>
                  <m:sub>
                    <m:r>
                      <w:rPr>
                        <w:rFonts w:ascii="Cambria Math" w:eastAsia="Calibri" w:hAnsi="Cambria Math" w:cs="Times New Roman"/>
                        <w:sz w:val="20"/>
                        <w:szCs w:val="12"/>
                      </w:rPr>
                      <m:t>2</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4</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O</m:t>
                    </m:r>
                  </m:e>
                  <m:sub>
                    <m:r>
                      <w:rPr>
                        <w:rFonts w:ascii="Cambria Math" w:eastAsia="Calibri" w:hAnsi="Cambria Math" w:cs="Times New Roman"/>
                        <w:sz w:val="20"/>
                        <w:szCs w:val="12"/>
                      </w:rPr>
                      <m:t>2</m:t>
                    </m:r>
                  </m:sub>
                </m:sSub>
                <m:r>
                  <w:rPr>
                    <w:rFonts w:ascii="Cambria Math" w:eastAsia="Calibri" w:hAnsi="Cambria Math" w:cs="Times New Roman"/>
                    <w:sz w:val="20"/>
                    <w:szCs w:val="12"/>
                  </w:rPr>
                  <m:t xml:space="preserve"> </m:t>
                </m:r>
                <m:d>
                  <m:dPr>
                    <m:ctrlPr>
                      <w:rPr>
                        <w:rFonts w:ascii="Cambria Math" w:eastAsia="Calibri" w:hAnsi="Cambria Math" w:cs="Times New Roman"/>
                        <w:i/>
                        <w:iCs/>
                        <w:sz w:val="20"/>
                        <w:szCs w:val="12"/>
                      </w:rPr>
                    </m:ctrlPr>
                  </m:dPr>
                  <m:e>
                    <m:r>
                      <w:rPr>
                        <w:rFonts w:ascii="Cambria Math" w:eastAsia="Calibri" w:hAnsi="Cambria Math" w:cs="Times New Roman"/>
                        <w:sz w:val="20"/>
                        <w:szCs w:val="12"/>
                      </w:rPr>
                      <m:t>HAc</m:t>
                    </m:r>
                  </m:e>
                </m:d>
                <m:r>
                  <w:rPr>
                    <w:rFonts w:ascii="Cambria Math" w:eastAsia="Calibri" w:hAnsi="Cambria Math" w:cs="Times New Roman"/>
                    <w:sz w:val="20"/>
                    <w:szCs w:val="12"/>
                  </w:rPr>
                  <m:t>+C</m:t>
                </m:r>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3</m:t>
                    </m:r>
                  </m:sub>
                </m:sSub>
                <m:r>
                  <w:rPr>
                    <w:rFonts w:ascii="Cambria Math" w:eastAsia="Calibri" w:hAnsi="Cambria Math" w:cs="Times New Roman"/>
                    <w:sz w:val="20"/>
                    <w:szCs w:val="12"/>
                  </w:rPr>
                  <m:t>OH</m:t>
                </m:r>
                <m:d>
                  <m:dPr>
                    <m:ctrlPr>
                      <w:rPr>
                        <w:rFonts w:ascii="Cambria Math" w:eastAsia="Calibri" w:hAnsi="Cambria Math" w:cs="Times New Roman"/>
                        <w:i/>
                        <w:iCs/>
                        <w:sz w:val="20"/>
                        <w:szCs w:val="12"/>
                      </w:rPr>
                    </m:ctrlPr>
                  </m:dPr>
                  <m:e>
                    <m:r>
                      <w:rPr>
                        <w:rFonts w:ascii="Cambria Math" w:eastAsia="Calibri" w:hAnsi="Cambria Math" w:cs="Times New Roman"/>
                        <w:sz w:val="20"/>
                        <w:szCs w:val="12"/>
                      </w:rPr>
                      <m:t>MeOH</m:t>
                    </m:r>
                  </m:e>
                </m:d>
                <m:r>
                  <w:rPr>
                    <w:rFonts w:ascii="Cambria Math" w:eastAsia="Calibri" w:hAnsi="Cambria Math" w:cs="Times New Roman"/>
                    <w:sz w:val="20"/>
                    <w:szCs w:val="12"/>
                  </w:rPr>
                  <m:t>↔</m:t>
                </m:r>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C</m:t>
                    </m:r>
                  </m:e>
                  <m:sub>
                    <m:r>
                      <w:rPr>
                        <w:rFonts w:ascii="Cambria Math" w:eastAsia="Calibri" w:hAnsi="Cambria Math" w:cs="Times New Roman"/>
                        <w:sz w:val="20"/>
                        <w:szCs w:val="12"/>
                      </w:rPr>
                      <m:t>3</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6</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O</m:t>
                    </m:r>
                  </m:e>
                  <m:sub>
                    <m:r>
                      <w:rPr>
                        <w:rFonts w:ascii="Cambria Math" w:eastAsia="Calibri" w:hAnsi="Cambria Math" w:cs="Times New Roman"/>
                        <w:sz w:val="20"/>
                        <w:szCs w:val="12"/>
                      </w:rPr>
                      <m:t>2</m:t>
                    </m:r>
                  </m:sub>
                </m:sSub>
                <m:d>
                  <m:dPr>
                    <m:ctrlPr>
                      <w:rPr>
                        <w:rFonts w:ascii="Cambria Math" w:eastAsia="Calibri" w:hAnsi="Cambria Math" w:cs="Times New Roman"/>
                        <w:i/>
                        <w:iCs/>
                        <w:sz w:val="20"/>
                        <w:szCs w:val="12"/>
                      </w:rPr>
                    </m:ctrlPr>
                  </m:dPr>
                  <m:e>
                    <m:r>
                      <w:rPr>
                        <w:rFonts w:ascii="Cambria Math" w:eastAsia="Calibri" w:hAnsi="Cambria Math" w:cs="Times New Roman"/>
                        <w:sz w:val="20"/>
                        <w:szCs w:val="12"/>
                      </w:rPr>
                      <m:t>MetHAc</m:t>
                    </m:r>
                  </m:e>
                </m:d>
                <m:r>
                  <w:rPr>
                    <w:rFonts w:ascii="Cambria Math" w:eastAsia="Calibri" w:hAnsi="Cambria Math" w:cs="Times New Roman"/>
                    <w:sz w:val="20"/>
                    <w:szCs w:val="12"/>
                  </w:rPr>
                  <m:t>+</m:t>
                </m:r>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2</m:t>
                    </m:r>
                  </m:sub>
                </m:sSub>
                <m:r>
                  <w:rPr>
                    <w:rFonts w:ascii="Cambria Math" w:eastAsia="Calibri" w:hAnsi="Cambria Math" w:cs="Times New Roman"/>
                    <w:sz w:val="20"/>
                    <w:szCs w:val="12"/>
                  </w:rPr>
                  <m:t>O</m:t>
                </m:r>
              </m:oMath>
            </m:oMathPara>
          </w:p>
        </w:tc>
        <w:tc>
          <w:tcPr>
            <w:tcW w:w="450" w:type="dxa"/>
            <w:vAlign w:val="center"/>
          </w:tcPr>
          <w:p w14:paraId="78A8BC9D" w14:textId="62A38762" w:rsidR="008D3F1A" w:rsidRPr="008D3F1A" w:rsidRDefault="008D3F1A" w:rsidP="003923BE">
            <w:pPr>
              <w:spacing w:before="120" w:after="120"/>
              <w:jc w:val="right"/>
              <w:rPr>
                <w:sz w:val="20"/>
                <w:szCs w:val="12"/>
              </w:rPr>
            </w:pPr>
            <w:r w:rsidRPr="008D3F1A">
              <w:rPr>
                <w:sz w:val="20"/>
                <w:szCs w:val="12"/>
              </w:rPr>
              <w:t>(2)</w:t>
            </w:r>
          </w:p>
        </w:tc>
      </w:tr>
      <w:tr w:rsidR="008D3F1A" w14:paraId="5DD40B28" w14:textId="77777777" w:rsidTr="003E3F3C">
        <w:tc>
          <w:tcPr>
            <w:tcW w:w="6638" w:type="dxa"/>
            <w:vAlign w:val="center"/>
          </w:tcPr>
          <w:p w14:paraId="74C3F2E4" w14:textId="0CAC3FAB" w:rsidR="008D3F1A" w:rsidRPr="008D3F1A" w:rsidRDefault="00000000" w:rsidP="003923BE">
            <w:pPr>
              <w:spacing w:before="120" w:after="120"/>
              <w:rPr>
                <w:rFonts w:eastAsia="Calibri" w:cs="Times New Roman"/>
                <w:i/>
                <w:iCs/>
                <w:sz w:val="20"/>
                <w:szCs w:val="12"/>
              </w:rPr>
            </w:pPr>
            <m:oMathPara>
              <m:oMathParaPr>
                <m:jc m:val="left"/>
              </m:oMathParaPr>
              <m:oMath>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C</m:t>
                    </m:r>
                  </m:e>
                  <m:sub>
                    <m:r>
                      <w:rPr>
                        <w:rFonts w:ascii="Cambria Math" w:eastAsia="Calibri" w:hAnsi="Cambria Math" w:cs="Times New Roman"/>
                        <w:sz w:val="20"/>
                        <w:szCs w:val="12"/>
                      </w:rPr>
                      <m:t>4</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6</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O</m:t>
                    </m:r>
                  </m:e>
                  <m:sub>
                    <m:r>
                      <w:rPr>
                        <w:rFonts w:ascii="Cambria Math" w:eastAsia="Calibri" w:hAnsi="Cambria Math" w:cs="Times New Roman"/>
                        <w:sz w:val="20"/>
                        <w:szCs w:val="12"/>
                      </w:rPr>
                      <m:t>4</m:t>
                    </m:r>
                  </m:sub>
                </m:sSub>
                <m:r>
                  <w:rPr>
                    <w:rFonts w:ascii="Cambria Math" w:eastAsia="Calibri" w:hAnsi="Cambria Math" w:cs="Times New Roman"/>
                    <w:sz w:val="20"/>
                    <w:szCs w:val="12"/>
                  </w:rPr>
                  <m:t xml:space="preserve"> </m:t>
                </m:r>
                <m:d>
                  <m:dPr>
                    <m:ctrlPr>
                      <w:rPr>
                        <w:rFonts w:ascii="Cambria Math" w:eastAsia="Calibri" w:hAnsi="Cambria Math" w:cs="Times New Roman"/>
                        <w:i/>
                        <w:iCs/>
                        <w:sz w:val="20"/>
                        <w:szCs w:val="12"/>
                      </w:rPr>
                    </m:ctrlPr>
                  </m:dPr>
                  <m:e>
                    <m:r>
                      <w:rPr>
                        <w:rFonts w:ascii="Cambria Math" w:eastAsia="Calibri" w:hAnsi="Cambria Math" w:cs="Times New Roman"/>
                        <w:sz w:val="20"/>
                        <w:szCs w:val="12"/>
                      </w:rPr>
                      <m:t>SUc</m:t>
                    </m:r>
                  </m:e>
                </m:d>
                <m:r>
                  <w:rPr>
                    <w:rFonts w:ascii="Cambria Math" w:eastAsia="Calibri" w:hAnsi="Cambria Math" w:cs="Times New Roman"/>
                    <w:sz w:val="20"/>
                    <w:szCs w:val="12"/>
                  </w:rPr>
                  <m:t>+C</m:t>
                </m:r>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3</m:t>
                    </m:r>
                  </m:sub>
                </m:sSub>
                <m:r>
                  <w:rPr>
                    <w:rFonts w:ascii="Cambria Math" w:eastAsia="Calibri" w:hAnsi="Cambria Math" w:cs="Times New Roman"/>
                    <w:sz w:val="20"/>
                    <w:szCs w:val="12"/>
                  </w:rPr>
                  <m:t>OH</m:t>
                </m:r>
                <m:d>
                  <m:dPr>
                    <m:ctrlPr>
                      <w:rPr>
                        <w:rFonts w:ascii="Cambria Math" w:eastAsia="Calibri" w:hAnsi="Cambria Math" w:cs="Times New Roman"/>
                        <w:i/>
                        <w:iCs/>
                        <w:sz w:val="20"/>
                        <w:szCs w:val="12"/>
                      </w:rPr>
                    </m:ctrlPr>
                  </m:dPr>
                  <m:e>
                    <m:r>
                      <w:rPr>
                        <w:rFonts w:ascii="Cambria Math" w:eastAsia="Calibri" w:hAnsi="Cambria Math" w:cs="Times New Roman"/>
                        <w:sz w:val="20"/>
                        <w:szCs w:val="12"/>
                      </w:rPr>
                      <m:t>MeOH</m:t>
                    </m:r>
                  </m:e>
                </m:d>
                <m:r>
                  <w:rPr>
                    <w:rFonts w:ascii="Cambria Math" w:eastAsia="Calibri" w:hAnsi="Cambria Math" w:cs="Times New Roman"/>
                    <w:sz w:val="20"/>
                    <w:szCs w:val="12"/>
                  </w:rPr>
                  <m:t>↔</m:t>
                </m:r>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C</m:t>
                    </m:r>
                  </m:e>
                  <m:sub>
                    <m:r>
                      <w:rPr>
                        <w:rFonts w:ascii="Cambria Math" w:eastAsia="Calibri" w:hAnsi="Cambria Math" w:cs="Times New Roman"/>
                        <w:sz w:val="20"/>
                        <w:szCs w:val="12"/>
                      </w:rPr>
                      <m:t>5</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8</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O</m:t>
                    </m:r>
                  </m:e>
                  <m:sub>
                    <m:r>
                      <w:rPr>
                        <w:rFonts w:ascii="Cambria Math" w:eastAsia="Calibri" w:hAnsi="Cambria Math" w:cs="Times New Roman"/>
                        <w:sz w:val="20"/>
                        <w:szCs w:val="12"/>
                      </w:rPr>
                      <m:t>4</m:t>
                    </m:r>
                  </m:sub>
                </m:sSub>
                <m:d>
                  <m:dPr>
                    <m:ctrlPr>
                      <w:rPr>
                        <w:rFonts w:ascii="Cambria Math" w:eastAsia="Calibri" w:hAnsi="Cambria Math" w:cs="Times New Roman"/>
                        <w:i/>
                        <w:iCs/>
                        <w:sz w:val="20"/>
                        <w:szCs w:val="12"/>
                      </w:rPr>
                    </m:ctrlPr>
                  </m:dPr>
                  <m:e>
                    <m:r>
                      <w:rPr>
                        <w:rFonts w:ascii="Cambria Math" w:eastAsia="Calibri" w:hAnsi="Cambria Math" w:cs="Times New Roman"/>
                        <w:sz w:val="20"/>
                        <w:szCs w:val="12"/>
                      </w:rPr>
                      <m:t>MMS</m:t>
                    </m:r>
                  </m:e>
                </m:d>
                <m:r>
                  <w:rPr>
                    <w:rFonts w:ascii="Cambria Math" w:eastAsia="Calibri" w:hAnsi="Cambria Math" w:cs="Times New Roman"/>
                    <w:sz w:val="20"/>
                    <w:szCs w:val="12"/>
                  </w:rPr>
                  <m:t>+</m:t>
                </m:r>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2</m:t>
                    </m:r>
                  </m:sub>
                </m:sSub>
                <m:r>
                  <w:rPr>
                    <w:rFonts w:ascii="Cambria Math" w:eastAsia="Calibri" w:hAnsi="Cambria Math" w:cs="Times New Roman"/>
                    <w:sz w:val="20"/>
                    <w:szCs w:val="12"/>
                  </w:rPr>
                  <m:t>O</m:t>
                </m:r>
              </m:oMath>
            </m:oMathPara>
          </w:p>
        </w:tc>
        <w:tc>
          <w:tcPr>
            <w:tcW w:w="450" w:type="dxa"/>
            <w:vAlign w:val="center"/>
          </w:tcPr>
          <w:p w14:paraId="1C49FF4E" w14:textId="368DB543" w:rsidR="008D3F1A" w:rsidRPr="008D3F1A" w:rsidRDefault="008D3F1A" w:rsidP="003923BE">
            <w:pPr>
              <w:spacing w:before="120" w:after="120"/>
              <w:jc w:val="right"/>
              <w:rPr>
                <w:sz w:val="20"/>
                <w:szCs w:val="12"/>
              </w:rPr>
            </w:pPr>
            <w:r w:rsidRPr="008D3F1A">
              <w:rPr>
                <w:sz w:val="20"/>
                <w:szCs w:val="12"/>
              </w:rPr>
              <w:t>(3)</w:t>
            </w:r>
          </w:p>
        </w:tc>
      </w:tr>
      <w:tr w:rsidR="008D3F1A" w14:paraId="6D5E096C" w14:textId="77777777" w:rsidTr="003E3F3C">
        <w:tc>
          <w:tcPr>
            <w:tcW w:w="6638" w:type="dxa"/>
            <w:vAlign w:val="center"/>
          </w:tcPr>
          <w:p w14:paraId="2ABCE3BC" w14:textId="422E78D7" w:rsidR="008D3F1A" w:rsidRPr="008D3F1A" w:rsidRDefault="00000000" w:rsidP="003923BE">
            <w:pPr>
              <w:spacing w:before="120" w:after="120"/>
              <w:rPr>
                <w:rFonts w:eastAsia="Calibri" w:cs="Times New Roman"/>
                <w:i/>
                <w:iCs/>
                <w:sz w:val="20"/>
                <w:szCs w:val="12"/>
              </w:rPr>
            </w:pPr>
            <m:oMathPara>
              <m:oMathParaPr>
                <m:jc m:val="left"/>
              </m:oMathParaPr>
              <m:oMath>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C</m:t>
                    </m:r>
                  </m:e>
                  <m:sub>
                    <m:r>
                      <w:rPr>
                        <w:rFonts w:ascii="Cambria Math" w:eastAsia="Calibri" w:hAnsi="Cambria Math" w:cs="Times New Roman"/>
                        <w:sz w:val="20"/>
                        <w:szCs w:val="12"/>
                      </w:rPr>
                      <m:t>5</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8</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O</m:t>
                    </m:r>
                  </m:e>
                  <m:sub>
                    <m:r>
                      <w:rPr>
                        <w:rFonts w:ascii="Cambria Math" w:eastAsia="Calibri" w:hAnsi="Cambria Math" w:cs="Times New Roman"/>
                        <w:sz w:val="20"/>
                        <w:szCs w:val="12"/>
                      </w:rPr>
                      <m:t>4</m:t>
                    </m:r>
                  </m:sub>
                </m:sSub>
                <m:r>
                  <w:rPr>
                    <w:rFonts w:ascii="Cambria Math" w:eastAsia="Calibri" w:hAnsi="Cambria Math" w:cs="Times New Roman"/>
                    <w:sz w:val="20"/>
                    <w:szCs w:val="12"/>
                  </w:rPr>
                  <m:t xml:space="preserve"> </m:t>
                </m:r>
                <m:d>
                  <m:dPr>
                    <m:ctrlPr>
                      <w:rPr>
                        <w:rFonts w:ascii="Cambria Math" w:eastAsia="Calibri" w:hAnsi="Cambria Math" w:cs="Times New Roman"/>
                        <w:i/>
                        <w:iCs/>
                        <w:sz w:val="20"/>
                        <w:szCs w:val="12"/>
                      </w:rPr>
                    </m:ctrlPr>
                  </m:dPr>
                  <m:e>
                    <m:r>
                      <w:rPr>
                        <w:rFonts w:ascii="Cambria Math" w:eastAsia="Calibri" w:hAnsi="Cambria Math" w:cs="Times New Roman"/>
                        <w:sz w:val="20"/>
                        <w:szCs w:val="12"/>
                      </w:rPr>
                      <m:t>MMS</m:t>
                    </m:r>
                  </m:e>
                </m:d>
                <m:r>
                  <w:rPr>
                    <w:rFonts w:ascii="Cambria Math" w:eastAsia="Calibri" w:hAnsi="Cambria Math" w:cs="Times New Roman"/>
                    <w:sz w:val="20"/>
                    <w:szCs w:val="12"/>
                  </w:rPr>
                  <m:t>+C</m:t>
                </m:r>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3</m:t>
                    </m:r>
                  </m:sub>
                </m:sSub>
                <m:r>
                  <w:rPr>
                    <w:rFonts w:ascii="Cambria Math" w:eastAsia="Calibri" w:hAnsi="Cambria Math" w:cs="Times New Roman"/>
                    <w:sz w:val="20"/>
                    <w:szCs w:val="12"/>
                  </w:rPr>
                  <m:t>OH</m:t>
                </m:r>
                <m:d>
                  <m:dPr>
                    <m:ctrlPr>
                      <w:rPr>
                        <w:rFonts w:ascii="Cambria Math" w:eastAsia="Calibri" w:hAnsi="Cambria Math" w:cs="Times New Roman"/>
                        <w:i/>
                        <w:iCs/>
                        <w:sz w:val="20"/>
                        <w:szCs w:val="12"/>
                      </w:rPr>
                    </m:ctrlPr>
                  </m:dPr>
                  <m:e>
                    <m:r>
                      <w:rPr>
                        <w:rFonts w:ascii="Cambria Math" w:eastAsia="Calibri" w:hAnsi="Cambria Math" w:cs="Times New Roman"/>
                        <w:sz w:val="20"/>
                        <w:szCs w:val="12"/>
                      </w:rPr>
                      <m:t>MeOH</m:t>
                    </m:r>
                  </m:e>
                </m:d>
                <m:r>
                  <w:rPr>
                    <w:rFonts w:ascii="Cambria Math" w:eastAsia="Calibri" w:hAnsi="Cambria Math" w:cs="Times New Roman"/>
                    <w:sz w:val="20"/>
                    <w:szCs w:val="12"/>
                  </w:rPr>
                  <m:t>↔</m:t>
                </m:r>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C</m:t>
                    </m:r>
                  </m:e>
                  <m:sub>
                    <m:r>
                      <w:rPr>
                        <w:rFonts w:ascii="Cambria Math" w:eastAsia="Calibri" w:hAnsi="Cambria Math" w:cs="Times New Roman"/>
                        <w:sz w:val="20"/>
                        <w:szCs w:val="12"/>
                      </w:rPr>
                      <m:t>6</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10</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O</m:t>
                    </m:r>
                  </m:e>
                  <m:sub>
                    <m:r>
                      <w:rPr>
                        <w:rFonts w:ascii="Cambria Math" w:eastAsia="Calibri" w:hAnsi="Cambria Math" w:cs="Times New Roman"/>
                        <w:sz w:val="20"/>
                        <w:szCs w:val="12"/>
                      </w:rPr>
                      <m:t>4</m:t>
                    </m:r>
                  </m:sub>
                </m:sSub>
                <m:d>
                  <m:dPr>
                    <m:ctrlPr>
                      <w:rPr>
                        <w:rFonts w:ascii="Cambria Math" w:eastAsia="Calibri" w:hAnsi="Cambria Math" w:cs="Times New Roman"/>
                        <w:i/>
                        <w:iCs/>
                        <w:sz w:val="20"/>
                        <w:szCs w:val="12"/>
                      </w:rPr>
                    </m:ctrlPr>
                  </m:dPr>
                  <m:e>
                    <m:r>
                      <w:rPr>
                        <w:rFonts w:ascii="Cambria Math" w:eastAsia="Calibri" w:hAnsi="Cambria Math" w:cs="Times New Roman"/>
                        <w:sz w:val="20"/>
                        <w:szCs w:val="12"/>
                      </w:rPr>
                      <m:t>DMS</m:t>
                    </m:r>
                  </m:e>
                </m:d>
                <m:r>
                  <w:rPr>
                    <w:rFonts w:ascii="Cambria Math" w:eastAsia="Calibri" w:hAnsi="Cambria Math" w:cs="Times New Roman"/>
                    <w:sz w:val="20"/>
                    <w:szCs w:val="12"/>
                  </w:rPr>
                  <m:t>+</m:t>
                </m:r>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2</m:t>
                    </m:r>
                  </m:sub>
                </m:sSub>
                <m:r>
                  <w:rPr>
                    <w:rFonts w:ascii="Cambria Math" w:eastAsia="Calibri" w:hAnsi="Cambria Math" w:cs="Times New Roman"/>
                    <w:sz w:val="20"/>
                    <w:szCs w:val="12"/>
                  </w:rPr>
                  <m:t>O</m:t>
                </m:r>
              </m:oMath>
            </m:oMathPara>
          </w:p>
        </w:tc>
        <w:tc>
          <w:tcPr>
            <w:tcW w:w="450" w:type="dxa"/>
            <w:vAlign w:val="center"/>
          </w:tcPr>
          <w:p w14:paraId="2B7973D9" w14:textId="756F8C13" w:rsidR="008D3F1A" w:rsidRPr="008D3F1A" w:rsidRDefault="008D3F1A" w:rsidP="003923BE">
            <w:pPr>
              <w:spacing w:before="120" w:after="120"/>
              <w:jc w:val="right"/>
              <w:rPr>
                <w:sz w:val="20"/>
                <w:szCs w:val="12"/>
              </w:rPr>
            </w:pPr>
            <w:r w:rsidRPr="008D3F1A">
              <w:rPr>
                <w:sz w:val="20"/>
                <w:szCs w:val="12"/>
              </w:rPr>
              <w:t>(4)</w:t>
            </w:r>
          </w:p>
        </w:tc>
      </w:tr>
      <w:tr w:rsidR="008D3F1A" w14:paraId="47D71B63" w14:textId="77777777" w:rsidTr="003E3F3C">
        <w:tc>
          <w:tcPr>
            <w:tcW w:w="6638" w:type="dxa"/>
            <w:vAlign w:val="center"/>
          </w:tcPr>
          <w:p w14:paraId="4B9C59E9" w14:textId="04788B28" w:rsidR="008D3F1A" w:rsidRPr="008D3F1A" w:rsidRDefault="008D3F1A" w:rsidP="003923BE">
            <w:pPr>
              <w:spacing w:before="120" w:after="120"/>
              <w:rPr>
                <w:rFonts w:eastAsia="Calibri" w:cs="Times New Roman"/>
                <w:i/>
                <w:iCs/>
                <w:sz w:val="20"/>
                <w:szCs w:val="12"/>
              </w:rPr>
            </w:pPr>
            <m:oMathPara>
              <m:oMathParaPr>
                <m:jc m:val="left"/>
              </m:oMathParaPr>
              <m:oMath>
                <m:r>
                  <w:rPr>
                    <w:rFonts w:ascii="Cambria Math" w:eastAsia="Calibri" w:hAnsi="Cambria Math" w:cs="Times New Roman"/>
                    <w:sz w:val="20"/>
                    <w:szCs w:val="12"/>
                  </w:rPr>
                  <w:lastRenderedPageBreak/>
                  <m:t>2</m:t>
                </m:r>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C</m:t>
                    </m:r>
                  </m:e>
                  <m:sub>
                    <m:r>
                      <w:rPr>
                        <w:rFonts w:ascii="Cambria Math" w:eastAsia="Calibri" w:hAnsi="Cambria Math" w:cs="Times New Roman"/>
                        <w:sz w:val="20"/>
                        <w:szCs w:val="12"/>
                      </w:rPr>
                      <m:t>3</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6</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O</m:t>
                    </m:r>
                  </m:e>
                  <m:sub>
                    <m:r>
                      <w:rPr>
                        <w:rFonts w:ascii="Cambria Math" w:eastAsia="Calibri" w:hAnsi="Cambria Math" w:cs="Times New Roman"/>
                        <w:sz w:val="20"/>
                        <w:szCs w:val="12"/>
                      </w:rPr>
                      <m:t>3</m:t>
                    </m:r>
                  </m:sub>
                </m:sSub>
                <m:r>
                  <w:rPr>
                    <w:rFonts w:ascii="Cambria Math" w:eastAsia="Calibri" w:hAnsi="Cambria Math" w:cs="Times New Roman"/>
                    <w:sz w:val="20"/>
                    <w:szCs w:val="12"/>
                  </w:rPr>
                  <m:t xml:space="preserve"> </m:t>
                </m:r>
                <m:d>
                  <m:dPr>
                    <m:ctrlPr>
                      <w:rPr>
                        <w:rFonts w:ascii="Cambria Math" w:eastAsia="Calibri" w:hAnsi="Cambria Math" w:cs="Times New Roman"/>
                        <w:i/>
                        <w:iCs/>
                        <w:sz w:val="20"/>
                        <w:szCs w:val="12"/>
                      </w:rPr>
                    </m:ctrlPr>
                  </m:dPr>
                  <m:e>
                    <m:r>
                      <w:rPr>
                        <w:rFonts w:ascii="Cambria Math" w:eastAsia="Calibri" w:hAnsi="Cambria Math" w:cs="Times New Roman"/>
                        <w:sz w:val="20"/>
                        <w:szCs w:val="12"/>
                      </w:rPr>
                      <m:t>LAc</m:t>
                    </m:r>
                  </m:e>
                </m:d>
                <m:r>
                  <w:rPr>
                    <w:rFonts w:ascii="Cambria Math" w:eastAsia="Calibri" w:hAnsi="Cambria Math" w:cs="Times New Roman"/>
                    <w:sz w:val="20"/>
                    <w:szCs w:val="12"/>
                  </w:rPr>
                  <m:t>↔</m:t>
                </m:r>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C</m:t>
                    </m:r>
                  </m:e>
                  <m:sub>
                    <m:r>
                      <w:rPr>
                        <w:rFonts w:ascii="Cambria Math" w:eastAsia="Calibri" w:hAnsi="Cambria Math" w:cs="Times New Roman"/>
                        <w:sz w:val="20"/>
                        <w:szCs w:val="12"/>
                      </w:rPr>
                      <m:t>6</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10</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O</m:t>
                    </m:r>
                  </m:e>
                  <m:sub>
                    <m:r>
                      <w:rPr>
                        <w:rFonts w:ascii="Cambria Math" w:eastAsia="Calibri" w:hAnsi="Cambria Math" w:cs="Times New Roman"/>
                        <w:sz w:val="20"/>
                        <w:szCs w:val="12"/>
                      </w:rPr>
                      <m:t>5</m:t>
                    </m:r>
                  </m:sub>
                </m:sSub>
                <m:d>
                  <m:dPr>
                    <m:ctrlPr>
                      <w:rPr>
                        <w:rFonts w:ascii="Cambria Math" w:eastAsia="Calibri" w:hAnsi="Cambria Math" w:cs="Times New Roman"/>
                        <w:i/>
                        <w:iCs/>
                        <w:sz w:val="20"/>
                        <w:szCs w:val="12"/>
                      </w:rPr>
                    </m:ctrlPr>
                  </m:dPr>
                  <m:e>
                    <m:r>
                      <w:rPr>
                        <w:rFonts w:ascii="Cambria Math" w:eastAsia="Calibri" w:hAnsi="Cambria Math" w:cs="Times New Roman"/>
                        <w:sz w:val="20"/>
                        <w:szCs w:val="12"/>
                      </w:rPr>
                      <m:t>DLAc</m:t>
                    </m:r>
                  </m:e>
                </m:d>
                <m:r>
                  <w:rPr>
                    <w:rFonts w:ascii="Cambria Math" w:eastAsia="Calibri" w:hAnsi="Cambria Math" w:cs="Times New Roman"/>
                    <w:sz w:val="20"/>
                    <w:szCs w:val="12"/>
                  </w:rPr>
                  <m:t>+</m:t>
                </m:r>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2</m:t>
                    </m:r>
                  </m:sub>
                </m:sSub>
                <m:r>
                  <w:rPr>
                    <w:rFonts w:ascii="Cambria Math" w:eastAsia="Calibri" w:hAnsi="Cambria Math" w:cs="Times New Roman"/>
                    <w:sz w:val="20"/>
                    <w:szCs w:val="12"/>
                  </w:rPr>
                  <m:t>O</m:t>
                </m:r>
              </m:oMath>
            </m:oMathPara>
          </w:p>
        </w:tc>
        <w:tc>
          <w:tcPr>
            <w:tcW w:w="450" w:type="dxa"/>
            <w:vAlign w:val="center"/>
          </w:tcPr>
          <w:p w14:paraId="48322C37" w14:textId="535DB2B5" w:rsidR="008D3F1A" w:rsidRPr="008D3F1A" w:rsidRDefault="008D3F1A" w:rsidP="003923BE">
            <w:pPr>
              <w:spacing w:before="120" w:after="120"/>
              <w:jc w:val="right"/>
              <w:rPr>
                <w:sz w:val="20"/>
                <w:szCs w:val="12"/>
              </w:rPr>
            </w:pPr>
            <w:r w:rsidRPr="008D3F1A">
              <w:rPr>
                <w:sz w:val="20"/>
                <w:szCs w:val="12"/>
              </w:rPr>
              <w:t>(5)</w:t>
            </w:r>
          </w:p>
        </w:tc>
      </w:tr>
      <w:tr w:rsidR="008D3F1A" w14:paraId="400E532E" w14:textId="77777777" w:rsidTr="003E3F3C">
        <w:tc>
          <w:tcPr>
            <w:tcW w:w="6638" w:type="dxa"/>
            <w:vAlign w:val="center"/>
          </w:tcPr>
          <w:p w14:paraId="224283E7" w14:textId="08BE71AD" w:rsidR="008D3F1A" w:rsidRPr="008D3F1A" w:rsidRDefault="00000000" w:rsidP="003923BE">
            <w:pPr>
              <w:spacing w:before="120" w:after="120"/>
              <w:rPr>
                <w:rFonts w:eastAsia="Calibri" w:cs="Times New Roman"/>
                <w:i/>
                <w:iCs/>
                <w:sz w:val="20"/>
                <w:szCs w:val="12"/>
              </w:rPr>
            </w:pPr>
            <m:oMathPara>
              <m:oMathParaPr>
                <m:jc m:val="left"/>
              </m:oMathParaPr>
              <m:oMath>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C</m:t>
                    </m:r>
                  </m:e>
                  <m:sub>
                    <m:r>
                      <w:rPr>
                        <w:rFonts w:ascii="Cambria Math" w:eastAsia="Calibri" w:hAnsi="Cambria Math" w:cs="Times New Roman"/>
                        <w:sz w:val="20"/>
                        <w:szCs w:val="12"/>
                      </w:rPr>
                      <m:t>3</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6</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O</m:t>
                    </m:r>
                  </m:e>
                  <m:sub>
                    <m:r>
                      <w:rPr>
                        <w:rFonts w:ascii="Cambria Math" w:eastAsia="Calibri" w:hAnsi="Cambria Math" w:cs="Times New Roman"/>
                        <w:sz w:val="20"/>
                        <w:szCs w:val="12"/>
                      </w:rPr>
                      <m:t>3</m:t>
                    </m:r>
                  </m:sub>
                </m:sSub>
                <m:r>
                  <w:rPr>
                    <w:rFonts w:ascii="Cambria Math" w:eastAsia="Calibri" w:hAnsi="Cambria Math" w:cs="Times New Roman"/>
                    <w:sz w:val="20"/>
                    <w:szCs w:val="12"/>
                  </w:rPr>
                  <m:t xml:space="preserve"> </m:t>
                </m:r>
                <m:d>
                  <m:dPr>
                    <m:ctrlPr>
                      <w:rPr>
                        <w:rFonts w:ascii="Cambria Math" w:eastAsia="Calibri" w:hAnsi="Cambria Math" w:cs="Times New Roman"/>
                        <w:i/>
                        <w:iCs/>
                        <w:sz w:val="20"/>
                        <w:szCs w:val="12"/>
                      </w:rPr>
                    </m:ctrlPr>
                  </m:dPr>
                  <m:e>
                    <m:r>
                      <w:rPr>
                        <w:rFonts w:ascii="Cambria Math" w:eastAsia="Calibri" w:hAnsi="Cambria Math" w:cs="Times New Roman"/>
                        <w:sz w:val="20"/>
                        <w:szCs w:val="12"/>
                      </w:rPr>
                      <m:t>LAc</m:t>
                    </m:r>
                  </m:e>
                </m:d>
                <m:r>
                  <w:rPr>
                    <w:rFonts w:ascii="Cambria Math" w:eastAsia="Calibri" w:hAnsi="Cambria Math" w:cs="Times New Roman"/>
                    <w:sz w:val="20"/>
                    <w:szCs w:val="12"/>
                  </w:rPr>
                  <m:t>+</m:t>
                </m:r>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C</m:t>
                    </m:r>
                  </m:e>
                  <m:sub>
                    <m:r>
                      <w:rPr>
                        <w:rFonts w:ascii="Cambria Math" w:eastAsia="Calibri" w:hAnsi="Cambria Math" w:cs="Times New Roman"/>
                        <w:sz w:val="20"/>
                        <w:szCs w:val="12"/>
                      </w:rPr>
                      <m:t>6</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10</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O</m:t>
                    </m:r>
                  </m:e>
                  <m:sub>
                    <m:r>
                      <w:rPr>
                        <w:rFonts w:ascii="Cambria Math" w:eastAsia="Calibri" w:hAnsi="Cambria Math" w:cs="Times New Roman"/>
                        <w:sz w:val="20"/>
                        <w:szCs w:val="12"/>
                      </w:rPr>
                      <m:t>5</m:t>
                    </m:r>
                  </m:sub>
                </m:sSub>
                <m:d>
                  <m:dPr>
                    <m:ctrlPr>
                      <w:rPr>
                        <w:rFonts w:ascii="Cambria Math" w:eastAsia="Calibri" w:hAnsi="Cambria Math" w:cs="Times New Roman"/>
                        <w:i/>
                        <w:iCs/>
                        <w:sz w:val="20"/>
                        <w:szCs w:val="12"/>
                      </w:rPr>
                    </m:ctrlPr>
                  </m:dPr>
                  <m:e>
                    <m:r>
                      <w:rPr>
                        <w:rFonts w:ascii="Cambria Math" w:eastAsia="Calibri" w:hAnsi="Cambria Math" w:cs="Times New Roman"/>
                        <w:sz w:val="20"/>
                        <w:szCs w:val="12"/>
                      </w:rPr>
                      <m:t>DLAc</m:t>
                    </m:r>
                  </m:e>
                </m:d>
                <m:r>
                  <w:rPr>
                    <w:rFonts w:ascii="Cambria Math" w:eastAsia="Calibri" w:hAnsi="Cambria Math" w:cs="Times New Roman"/>
                    <w:sz w:val="20"/>
                    <w:szCs w:val="12"/>
                  </w:rPr>
                  <m:t>↔</m:t>
                </m:r>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C</m:t>
                    </m:r>
                  </m:e>
                  <m:sub>
                    <m:r>
                      <w:rPr>
                        <w:rFonts w:ascii="Cambria Math" w:eastAsia="Calibri" w:hAnsi="Cambria Math" w:cs="Times New Roman"/>
                        <w:sz w:val="20"/>
                        <w:szCs w:val="12"/>
                      </w:rPr>
                      <m:t>9</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14</m:t>
                    </m:r>
                  </m:sub>
                </m:sSub>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O</m:t>
                    </m:r>
                  </m:e>
                  <m:sub>
                    <m:r>
                      <w:rPr>
                        <w:rFonts w:ascii="Cambria Math" w:eastAsia="Calibri" w:hAnsi="Cambria Math" w:cs="Times New Roman"/>
                        <w:sz w:val="20"/>
                        <w:szCs w:val="12"/>
                      </w:rPr>
                      <m:t>7</m:t>
                    </m:r>
                  </m:sub>
                </m:sSub>
                <m:d>
                  <m:dPr>
                    <m:ctrlPr>
                      <w:rPr>
                        <w:rFonts w:ascii="Cambria Math" w:eastAsia="Calibri" w:hAnsi="Cambria Math" w:cs="Times New Roman"/>
                        <w:i/>
                        <w:iCs/>
                        <w:sz w:val="20"/>
                        <w:szCs w:val="12"/>
                      </w:rPr>
                    </m:ctrlPr>
                  </m:dPr>
                  <m:e>
                    <m:r>
                      <w:rPr>
                        <w:rFonts w:ascii="Cambria Math" w:eastAsia="Calibri" w:hAnsi="Cambria Math" w:cs="Times New Roman"/>
                        <w:sz w:val="20"/>
                        <w:szCs w:val="12"/>
                      </w:rPr>
                      <m:t>TLAc</m:t>
                    </m:r>
                  </m:e>
                </m:d>
                <m:r>
                  <w:rPr>
                    <w:rFonts w:ascii="Cambria Math" w:eastAsia="Calibri" w:hAnsi="Cambria Math" w:cs="Times New Roman"/>
                    <w:sz w:val="20"/>
                    <w:szCs w:val="12"/>
                  </w:rPr>
                  <m:t>+</m:t>
                </m:r>
                <m:sSub>
                  <m:sSubPr>
                    <m:ctrlPr>
                      <w:rPr>
                        <w:rFonts w:ascii="Cambria Math" w:eastAsia="Calibri" w:hAnsi="Cambria Math" w:cs="Times New Roman"/>
                        <w:i/>
                        <w:iCs/>
                        <w:sz w:val="20"/>
                        <w:szCs w:val="12"/>
                      </w:rPr>
                    </m:ctrlPr>
                  </m:sSubPr>
                  <m:e>
                    <m:r>
                      <w:rPr>
                        <w:rFonts w:ascii="Cambria Math" w:eastAsia="Calibri" w:hAnsi="Cambria Math" w:cs="Times New Roman"/>
                        <w:sz w:val="20"/>
                        <w:szCs w:val="12"/>
                      </w:rPr>
                      <m:t>H</m:t>
                    </m:r>
                  </m:e>
                  <m:sub>
                    <m:r>
                      <w:rPr>
                        <w:rFonts w:ascii="Cambria Math" w:eastAsia="Calibri" w:hAnsi="Cambria Math" w:cs="Times New Roman"/>
                        <w:sz w:val="20"/>
                        <w:szCs w:val="12"/>
                      </w:rPr>
                      <m:t>2</m:t>
                    </m:r>
                  </m:sub>
                </m:sSub>
                <m:r>
                  <w:rPr>
                    <w:rFonts w:ascii="Cambria Math" w:eastAsia="Calibri" w:hAnsi="Cambria Math" w:cs="Times New Roman"/>
                    <w:sz w:val="20"/>
                    <w:szCs w:val="12"/>
                  </w:rPr>
                  <m:t>O</m:t>
                </m:r>
              </m:oMath>
            </m:oMathPara>
          </w:p>
        </w:tc>
        <w:tc>
          <w:tcPr>
            <w:tcW w:w="450" w:type="dxa"/>
            <w:vAlign w:val="center"/>
          </w:tcPr>
          <w:p w14:paraId="6CCAEDB6" w14:textId="4C9DA2B1" w:rsidR="008D3F1A" w:rsidRPr="008D3F1A" w:rsidRDefault="008D3F1A" w:rsidP="003923BE">
            <w:pPr>
              <w:spacing w:before="120" w:after="120"/>
              <w:jc w:val="right"/>
              <w:rPr>
                <w:sz w:val="20"/>
                <w:szCs w:val="12"/>
              </w:rPr>
            </w:pPr>
            <w:r w:rsidRPr="008D3F1A">
              <w:rPr>
                <w:sz w:val="20"/>
                <w:szCs w:val="12"/>
              </w:rPr>
              <w:t>(6)</w:t>
            </w:r>
          </w:p>
        </w:tc>
      </w:tr>
    </w:tbl>
    <w:p w14:paraId="411CF75F" w14:textId="1D4CC57E" w:rsidR="003E3F3C" w:rsidRDefault="003E3F3C" w:rsidP="00722991">
      <w:pPr>
        <w:pStyle w:val="Els-body-text"/>
        <w:spacing w:before="120" w:after="120"/>
      </w:pPr>
      <w:r w:rsidRPr="00FD7052">
        <w:t xml:space="preserve">Two configurations were evaluated for the acid recovery and purification </w:t>
      </w:r>
      <w:r>
        <w:t>area</w:t>
      </w:r>
      <w:r w:rsidRPr="00FD7052">
        <w:t xml:space="preserve">. </w:t>
      </w:r>
      <w:r>
        <w:fldChar w:fldCharType="begin"/>
      </w:r>
      <w:r>
        <w:instrText xml:space="preserve"> REF _Ref150966807 \h </w:instrText>
      </w:r>
      <w:r>
        <w:fldChar w:fldCharType="separate"/>
      </w:r>
      <w:r>
        <w:t xml:space="preserve">Figure </w:t>
      </w:r>
      <w:r>
        <w:rPr>
          <w:noProof/>
        </w:rPr>
        <w:t>2</w:t>
      </w:r>
      <w:r>
        <w:fldChar w:fldCharType="end"/>
      </w:r>
      <w:r>
        <w:t xml:space="preserve"> compares the two configurations.</w:t>
      </w:r>
    </w:p>
    <w:p w14:paraId="170588AD" w14:textId="0F04AAE6" w:rsidR="002C2D8D" w:rsidRDefault="002C2D8D" w:rsidP="002C2D8D">
      <w:pPr>
        <w:pStyle w:val="Els-body-text"/>
        <w:keepNext/>
      </w:pPr>
      <w:r>
        <w:rPr>
          <w:noProof/>
          <w:lang w:val="pt-BR"/>
        </w:rPr>
        <w:drawing>
          <wp:inline distT="0" distB="0" distL="0" distR="0" wp14:anchorId="537ED6E3" wp14:editId="44069616">
            <wp:extent cx="4499610" cy="3545205"/>
            <wp:effectExtent l="0" t="0" r="0" b="0"/>
            <wp:docPr id="207689699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96993" name="Gráfico 2076896993"/>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99610" cy="3545205"/>
                    </a:xfrm>
                    <a:prstGeom prst="rect">
                      <a:avLst/>
                    </a:prstGeom>
                  </pic:spPr>
                </pic:pic>
              </a:graphicData>
            </a:graphic>
          </wp:inline>
        </w:drawing>
      </w:r>
    </w:p>
    <w:p w14:paraId="4A5900C1" w14:textId="77777777" w:rsidR="002C2D8D" w:rsidRPr="00713B76" w:rsidRDefault="002C2D8D" w:rsidP="002C2D8D">
      <w:pPr>
        <w:pStyle w:val="Legenda"/>
        <w:jc w:val="both"/>
      </w:pPr>
      <w:bookmarkStart w:id="1" w:name="_Ref150966807"/>
      <w:r>
        <w:t xml:space="preserve">Figure </w:t>
      </w:r>
      <w:r>
        <w:fldChar w:fldCharType="begin"/>
      </w:r>
      <w:r>
        <w:instrText xml:space="preserve"> SEQ Figure \* ARABIC </w:instrText>
      </w:r>
      <w:r>
        <w:fldChar w:fldCharType="separate"/>
      </w:r>
      <w:r>
        <w:rPr>
          <w:noProof/>
        </w:rPr>
        <w:t>2</w:t>
      </w:r>
      <w:r>
        <w:fldChar w:fldCharType="end"/>
      </w:r>
      <w:bookmarkEnd w:id="1"/>
      <w:r>
        <w:t xml:space="preserve">. A) </w:t>
      </w:r>
      <w:r w:rsidRPr="00713B76">
        <w:t>Flowsheet of the conventional configuration</w:t>
      </w:r>
      <w:r>
        <w:t>; B</w:t>
      </w:r>
      <w:r w:rsidRPr="000240E1">
        <w:t>) Flowsheet of the intensified configuration (RDWC)</w:t>
      </w:r>
      <w:r>
        <w:t xml:space="preserve">; and C) </w:t>
      </w:r>
      <w:r w:rsidRPr="000240E1">
        <w:t>Sections and interconnections of the RDWC column.</w:t>
      </w:r>
    </w:p>
    <w:p w14:paraId="5E99AB22" w14:textId="77777777" w:rsidR="00595970" w:rsidRDefault="00595970" w:rsidP="00595970">
      <w:pPr>
        <w:pStyle w:val="Els-body-text"/>
        <w:spacing w:before="120"/>
      </w:pPr>
      <w:r w:rsidRPr="00FD7052">
        <w:t xml:space="preserve">The conventional configuration consists of 1) esterification reactor, which operates under conditions of temperature and pressure sufficient to vaporize the water and esters formed; 2) stabilization column, which aims to remove heavy esters and glycerol that were vaporized in the reactor; and 3) hydrolysis column, </w:t>
      </w:r>
      <w:r>
        <w:t>which have the</w:t>
      </w:r>
      <w:r w:rsidRPr="00FD7052">
        <w:t xml:space="preserve"> objective to convert the methyl lactate formed in the reactor into lactic acid.</w:t>
      </w:r>
    </w:p>
    <w:p w14:paraId="0ABF273F" w14:textId="685C2B9F" w:rsidR="00FB416C" w:rsidRDefault="00FD7052" w:rsidP="00FB416C">
      <w:pPr>
        <w:pStyle w:val="Els-body-text"/>
      </w:pPr>
      <w:r w:rsidRPr="00FD7052">
        <w:t xml:space="preserve">The intensified configuration consists of coupling the esterification reactor, the stabilization column, and the hydrolysis column in a single reactive </w:t>
      </w:r>
      <w:r>
        <w:t>divided</w:t>
      </w:r>
      <w:r w:rsidRPr="00FD7052">
        <w:t>-wall column (RDWC). The concentrated vinasse feeds the left side of the wall</w:t>
      </w:r>
      <w:r w:rsidR="003923BE">
        <w:t>,</w:t>
      </w:r>
      <w:r w:rsidRPr="00FD7052">
        <w:t xml:space="preserve"> where the esterification reactions occur. The vaporized esters, as well as the excess </w:t>
      </w:r>
      <w:r>
        <w:t xml:space="preserve">of </w:t>
      </w:r>
      <w:r w:rsidRPr="00FD7052">
        <w:t>methanol</w:t>
      </w:r>
      <w:r>
        <w:t>,</w:t>
      </w:r>
      <w:r w:rsidRPr="00FD7052">
        <w:t xml:space="preserve"> and </w:t>
      </w:r>
      <w:r>
        <w:t xml:space="preserve">the </w:t>
      </w:r>
      <w:r w:rsidRPr="00FD7052">
        <w:t xml:space="preserve">water </w:t>
      </w:r>
      <w:r>
        <w:t>produced</w:t>
      </w:r>
      <w:r w:rsidRPr="00FD7052">
        <w:t xml:space="preserve">, rise to rectification section 1. The </w:t>
      </w:r>
      <w:r>
        <w:t>vapor</w:t>
      </w:r>
      <w:r w:rsidRPr="00FD7052">
        <w:t xml:space="preserve"> leaving rectification section 1 contains light esters, water</w:t>
      </w:r>
      <w:r>
        <w:t>,</w:t>
      </w:r>
      <w:r w:rsidRPr="00FD7052">
        <w:t xml:space="preserve"> and excess methanol. This vapor is directed to</w:t>
      </w:r>
      <w:r>
        <w:t xml:space="preserve"> the</w:t>
      </w:r>
      <w:r w:rsidRPr="00FD7052">
        <w:t xml:space="preserve"> rectification section 2, where all methanol, light esters </w:t>
      </w:r>
      <w:r w:rsidR="003923BE">
        <w:t>produced,</w:t>
      </w:r>
      <w:r w:rsidRPr="00FD7052">
        <w:t xml:space="preserve"> and excess water will be removed as top product. The liquid leaving the rectification section 2</w:t>
      </w:r>
      <w:r w:rsidR="00713B76">
        <w:t xml:space="preserve"> - that consists of methyl lactate and water -</w:t>
      </w:r>
      <w:r w:rsidRPr="00FD7052">
        <w:t xml:space="preserve"> is divided between</w:t>
      </w:r>
      <w:r>
        <w:t xml:space="preserve"> the two sides of the RDWC</w:t>
      </w:r>
      <w:r w:rsidRPr="00FD7052">
        <w:t>. In the hydrolysis section</w:t>
      </w:r>
      <w:r>
        <w:t xml:space="preserve"> – the right side of the wall - </w:t>
      </w:r>
      <w:r w:rsidRPr="00FD7052">
        <w:t xml:space="preserve">methyl lactate is converted into lactic acid; the vapor stream from </w:t>
      </w:r>
      <w:r w:rsidRPr="00FD7052">
        <w:lastRenderedPageBreak/>
        <w:t>this section goes directly to the rectification section 2, while the liquid stream goes to the stripping section 2, where the lactic acid is obtained</w:t>
      </w:r>
      <w:r>
        <w:t xml:space="preserve"> as a bottom product</w:t>
      </w:r>
      <w:r w:rsidRPr="00FD7052">
        <w:t>.</w:t>
      </w:r>
    </w:p>
    <w:p w14:paraId="6CEF6F88" w14:textId="56C2D055" w:rsidR="00FB416C" w:rsidRDefault="00FB416C" w:rsidP="00FB416C">
      <w:pPr>
        <w:pStyle w:val="Els-body-text"/>
      </w:pPr>
      <w:r w:rsidRPr="00FB416C">
        <w:t xml:space="preserve">The last area of the process is the alcohol recovery area, </w:t>
      </w:r>
      <w:r>
        <w:t xml:space="preserve">which have </w:t>
      </w:r>
      <w:r w:rsidRPr="00FB416C">
        <w:t xml:space="preserve">the </w:t>
      </w:r>
      <w:r>
        <w:t>function</w:t>
      </w:r>
      <w:r w:rsidRPr="00FB416C">
        <w:t xml:space="preserve"> to separate </w:t>
      </w:r>
      <w:r>
        <w:t xml:space="preserve">the </w:t>
      </w:r>
      <w:r w:rsidRPr="00FB416C">
        <w:t xml:space="preserve">methanol </w:t>
      </w:r>
      <w:r>
        <w:t>from water and</w:t>
      </w:r>
      <w:r w:rsidRPr="00FB416C">
        <w:t xml:space="preserve"> any residues of methyl lactate.</w:t>
      </w:r>
    </w:p>
    <w:p w14:paraId="494EED5D" w14:textId="224B4137" w:rsidR="00A9120F" w:rsidRDefault="00A9120F" w:rsidP="00A9120F">
      <w:pPr>
        <w:pStyle w:val="Els-1storder-head"/>
      </w:pPr>
      <w:r>
        <w:t>Process Optimization</w:t>
      </w:r>
    </w:p>
    <w:p w14:paraId="3D167FB9" w14:textId="038B3D80" w:rsidR="00A9120F" w:rsidRDefault="00A9120F" w:rsidP="00595970">
      <w:pPr>
        <w:pStyle w:val="Els-body-text"/>
      </w:pPr>
      <w:r w:rsidRPr="00A9120F">
        <w:t xml:space="preserve">The objective function used to determine the optimal process configuration was the </w:t>
      </w:r>
      <w:r w:rsidR="009011C3">
        <w:t>Total Annual Cost (</w:t>
      </w:r>
      <w:r w:rsidRPr="00A9120F">
        <w:t>TAC</w:t>
      </w:r>
      <w:r w:rsidR="009011C3">
        <w:t>)</w:t>
      </w:r>
      <w:r w:rsidRPr="00A9120F">
        <w:t xml:space="preserve">, calculated using Eq. (7). In the equation, </w:t>
      </w:r>
      <w:r w:rsidRPr="00A9120F">
        <w:rPr>
          <w:i/>
          <w:iCs/>
        </w:rPr>
        <w:t>OPC</w:t>
      </w:r>
      <w:r w:rsidRPr="00A9120F">
        <w:t xml:space="preserve"> represents the operational cost of the process (US$/Year) and CAPC represents the capital cost (US$). The payback considered was 5 years.</w:t>
      </w:r>
      <w:r w:rsidR="002C2D8D">
        <w:t xml:space="preserve"> </w:t>
      </w:r>
      <w:r w:rsidRPr="00A9120F">
        <w:t xml:space="preserve">All equations </w:t>
      </w:r>
      <w:r w:rsidR="002C2D8D">
        <w:t xml:space="preserve">used to calculate the capital and operational costs </w:t>
      </w:r>
      <w:r w:rsidRPr="00A9120F">
        <w:t>were implemented in Aspen Plus through the “</w:t>
      </w:r>
      <w:r w:rsidRPr="00A9120F">
        <w:rPr>
          <w:i/>
          <w:iCs/>
        </w:rPr>
        <w:t>Calculator</w:t>
      </w:r>
      <w:r w:rsidRPr="00A9120F">
        <w:t>” block using Fortran language. TAC optimization was performed through an iterative sequential procedure.</w:t>
      </w:r>
    </w:p>
    <w:tbl>
      <w:tblPr>
        <w:tblStyle w:val="Tabelacomgrade"/>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0"/>
        <w:gridCol w:w="1538"/>
      </w:tblGrid>
      <w:tr w:rsidR="00A9120F" w14:paraId="2A815A41" w14:textId="77777777" w:rsidTr="00595970">
        <w:tc>
          <w:tcPr>
            <w:tcW w:w="5550" w:type="dxa"/>
            <w:vAlign w:val="center"/>
          </w:tcPr>
          <w:p w14:paraId="5EB1F1D5" w14:textId="77777777" w:rsidR="00A9120F" w:rsidRPr="003A259D" w:rsidRDefault="00A9120F" w:rsidP="003A259D">
            <w:pPr>
              <w:spacing w:before="120" w:after="120"/>
              <w:jc w:val="center"/>
              <w:rPr>
                <w:sz w:val="20"/>
                <w:szCs w:val="20"/>
              </w:rPr>
            </w:pPr>
            <m:oMathPara>
              <m:oMathParaPr>
                <m:jc m:val="left"/>
              </m:oMathParaPr>
              <m:oMath>
                <m:r>
                  <w:rPr>
                    <w:rFonts w:ascii="Cambria Math" w:hAnsi="Cambria Math"/>
                    <w:sz w:val="20"/>
                    <w:szCs w:val="20"/>
                  </w:rPr>
                  <m:t>TAC=OPC+</m:t>
                </m:r>
                <m:f>
                  <m:fPr>
                    <m:ctrlPr>
                      <w:rPr>
                        <w:rFonts w:ascii="Cambria Math" w:hAnsi="Cambria Math"/>
                        <w:i/>
                        <w:sz w:val="20"/>
                        <w:szCs w:val="20"/>
                      </w:rPr>
                    </m:ctrlPr>
                  </m:fPr>
                  <m:num>
                    <m:r>
                      <w:rPr>
                        <w:rFonts w:ascii="Cambria Math" w:hAnsi="Cambria Math"/>
                        <w:sz w:val="20"/>
                        <w:szCs w:val="20"/>
                      </w:rPr>
                      <m:t>CAPC</m:t>
                    </m:r>
                  </m:num>
                  <m:den>
                    <m:r>
                      <w:rPr>
                        <w:rFonts w:ascii="Cambria Math" w:hAnsi="Cambria Math"/>
                        <w:sz w:val="20"/>
                        <w:szCs w:val="20"/>
                      </w:rPr>
                      <m:t>Payback</m:t>
                    </m:r>
                  </m:den>
                </m:f>
              </m:oMath>
            </m:oMathPara>
          </w:p>
        </w:tc>
        <w:tc>
          <w:tcPr>
            <w:tcW w:w="1538" w:type="dxa"/>
            <w:vAlign w:val="center"/>
          </w:tcPr>
          <w:p w14:paraId="6B976818" w14:textId="78EA3060" w:rsidR="00A9120F" w:rsidRPr="00A9120F" w:rsidRDefault="00A9120F" w:rsidP="003A259D">
            <w:pPr>
              <w:spacing w:before="120" w:after="120"/>
              <w:jc w:val="right"/>
              <w:rPr>
                <w:sz w:val="20"/>
                <w:szCs w:val="20"/>
              </w:rPr>
            </w:pPr>
            <w:r w:rsidRPr="00A9120F">
              <w:rPr>
                <w:sz w:val="20"/>
                <w:szCs w:val="20"/>
              </w:rPr>
              <w:t>(</w:t>
            </w:r>
            <w:r w:rsidR="003A259D">
              <w:rPr>
                <w:sz w:val="20"/>
                <w:szCs w:val="20"/>
              </w:rPr>
              <w:t>7</w:t>
            </w:r>
            <w:r w:rsidRPr="00A9120F">
              <w:rPr>
                <w:sz w:val="20"/>
                <w:szCs w:val="20"/>
              </w:rPr>
              <w:t>)</w:t>
            </w:r>
          </w:p>
        </w:tc>
      </w:tr>
    </w:tbl>
    <w:p w14:paraId="151A7A11" w14:textId="77777777" w:rsidR="002C2D8D" w:rsidRDefault="002C2D8D" w:rsidP="002C2D8D">
      <w:pPr>
        <w:pStyle w:val="Els-1storder-head"/>
      </w:pPr>
      <w:r>
        <w:t>Results and Discussion</w:t>
      </w:r>
    </w:p>
    <w:p w14:paraId="33C99062" w14:textId="77777777" w:rsidR="002C2D8D" w:rsidRDefault="002C2D8D" w:rsidP="002C2D8D">
      <w:pPr>
        <w:pStyle w:val="Els-body-text"/>
      </w:pPr>
      <w:r>
        <w:fldChar w:fldCharType="begin"/>
      </w:r>
      <w:r>
        <w:instrText xml:space="preserve"> REF _Ref150966865 \h </w:instrText>
      </w:r>
      <w:r>
        <w:fldChar w:fldCharType="separate"/>
      </w:r>
      <w:r>
        <w:t xml:space="preserve">Table </w:t>
      </w:r>
      <w:r>
        <w:rPr>
          <w:noProof/>
        </w:rPr>
        <w:t>1</w:t>
      </w:r>
      <w:r>
        <w:fldChar w:fldCharType="end"/>
      </w:r>
      <w:r>
        <w:t xml:space="preserve"> </w:t>
      </w:r>
      <w:r w:rsidRPr="00EB3EDC">
        <w:t>presents the optimal results of the conventional and intensified configurations, obtained after optimization.</w:t>
      </w:r>
      <w:r>
        <w:t xml:space="preserve"> </w:t>
      </w:r>
      <w:r w:rsidRPr="00EB3EDC">
        <w:t xml:space="preserve">The lower energy consumption in the preconcentration area of the intensified configuration </w:t>
      </w:r>
      <w:r>
        <w:t xml:space="preserve">is related to the lower </w:t>
      </w:r>
      <w:r w:rsidRPr="00EB3EDC">
        <w:t xml:space="preserve">energy consumption in the acid recovery and purification </w:t>
      </w:r>
      <w:r>
        <w:t>area</w:t>
      </w:r>
      <w:r w:rsidRPr="00EB3EDC">
        <w:t xml:space="preserve">. As previously mentioned, compressed steam is primarily used to </w:t>
      </w:r>
      <w:r>
        <w:t>supply</w:t>
      </w:r>
      <w:r w:rsidRPr="00EB3EDC">
        <w:t xml:space="preserve"> energy for the hydrolysis </w:t>
      </w:r>
      <w:proofErr w:type="gramStart"/>
      <w:r w:rsidRPr="00EB3EDC">
        <w:t>column</w:t>
      </w:r>
      <w:r>
        <w:t>’s</w:t>
      </w:r>
      <w:proofErr w:type="gramEnd"/>
      <w:r w:rsidRPr="00EB3EDC">
        <w:t xml:space="preserve"> reboiler. As this consumption is lower in the intensified configuration, the compressed vapor has a higher enthalpy after passing through the reboiler and can provide more energy to preheat the vinasse, reducing the supply of live </w:t>
      </w:r>
      <w:r>
        <w:t>steam</w:t>
      </w:r>
      <w:r w:rsidRPr="00EB3EDC">
        <w:t xml:space="preserve"> in the first stage of evaporation.</w:t>
      </w:r>
    </w:p>
    <w:p w14:paraId="35B44A2A" w14:textId="0FA78EAC" w:rsidR="002C2D8D" w:rsidRDefault="002C2D8D" w:rsidP="002C2D8D">
      <w:pPr>
        <w:pStyle w:val="Els-body-text"/>
      </w:pPr>
      <w:r w:rsidRPr="00EB3EDC">
        <w:t xml:space="preserve">The alcohol recovery area showed similar results in both </w:t>
      </w:r>
      <w:r>
        <w:t>configurations</w:t>
      </w:r>
      <w:r w:rsidRPr="00EB3EDC">
        <w:t>. The result that deserves to be highlighted</w:t>
      </w:r>
      <w:r>
        <w:t xml:space="preserve"> </w:t>
      </w:r>
      <w:r w:rsidRPr="00EB3EDC">
        <w:t>is the methanol make-up. It is observed that in the intensified configuration, make-up is reduced by approximately 44</w:t>
      </w:r>
      <w:r w:rsidR="00716547">
        <w:t xml:space="preserve"> </w:t>
      </w:r>
      <w:r w:rsidRPr="00EB3EDC">
        <w:t xml:space="preserve">% compared to the conventional configuration. This occurs, firstly, because the presence of the reactor </w:t>
      </w:r>
      <w:r>
        <w:t>results in</w:t>
      </w:r>
      <w:r w:rsidRPr="00EB3EDC">
        <w:t xml:space="preserve"> methanol losses </w:t>
      </w:r>
      <w:r>
        <w:t>in the residue’s stream</w:t>
      </w:r>
      <w:r w:rsidRPr="00EB3EDC">
        <w:t xml:space="preserve">. Secondly, </w:t>
      </w:r>
      <w:r>
        <w:t>the loss</w:t>
      </w:r>
      <w:r w:rsidRPr="00EB3EDC">
        <w:t xml:space="preserve"> of </w:t>
      </w:r>
      <w:r>
        <w:t xml:space="preserve">other </w:t>
      </w:r>
      <w:r w:rsidRPr="00EB3EDC">
        <w:t xml:space="preserve">esters in the global </w:t>
      </w:r>
      <w:r>
        <w:t>streams</w:t>
      </w:r>
      <w:r w:rsidRPr="00EB3EDC">
        <w:t xml:space="preserve"> is smaller in the </w:t>
      </w:r>
      <w:r>
        <w:t>intensified</w:t>
      </w:r>
      <w:r w:rsidRPr="00EB3EDC">
        <w:t xml:space="preserve"> configuration, especially </w:t>
      </w:r>
      <w:r>
        <w:t xml:space="preserve">of </w:t>
      </w:r>
      <w:r w:rsidRPr="00EB3EDC">
        <w:t>dimethyl succinate (DMS). DMS losses in the conventional configuration are 2.54 kmol/h, while in the intensified configuration these losses are equal to 0.09 kmol/h. Considering that, for each kmol of DMS formed, 2 kmol of methanol is consumed, the formation and loss of this ester ultimately represents a loss of methanol.</w:t>
      </w:r>
    </w:p>
    <w:p w14:paraId="02AAC5B2" w14:textId="367A9DD0" w:rsidR="00EB3EDC" w:rsidRDefault="00EB3EDC" w:rsidP="002A403B">
      <w:pPr>
        <w:pStyle w:val="Els-body-text"/>
      </w:pPr>
      <w:r w:rsidRPr="00EB3EDC">
        <w:t>The amount of cooling water decreased significantly in the intensified configuration, going from 2,524.5 m³/h to 2,201.1 m³/h. This result improves the environmental indicators of the process, considering that the reduction in water consumption is being sought after by industries around the world.</w:t>
      </w:r>
    </w:p>
    <w:p w14:paraId="61A61204" w14:textId="2A191F06" w:rsidR="002C2D8D" w:rsidRDefault="002C2D8D" w:rsidP="002C2D8D">
      <w:pPr>
        <w:pStyle w:val="Els-body-text"/>
      </w:pPr>
      <w:r w:rsidRPr="00790A21">
        <w:t xml:space="preserve">When analyzing </w:t>
      </w:r>
      <w:r>
        <w:fldChar w:fldCharType="begin"/>
      </w:r>
      <w:r>
        <w:instrText xml:space="preserve"> REF _Ref150966865 \h </w:instrText>
      </w:r>
      <w:r>
        <w:fldChar w:fldCharType="separate"/>
      </w:r>
      <w:r>
        <w:t xml:space="preserve">Table </w:t>
      </w:r>
      <w:r>
        <w:rPr>
          <w:noProof/>
        </w:rPr>
        <w:t>1</w:t>
      </w:r>
      <w:r>
        <w:fldChar w:fldCharType="end"/>
      </w:r>
      <w:r w:rsidRPr="00790A21">
        <w:t>, it is possible to observe that the intensified configuration presented a reduction of 9.5</w:t>
      </w:r>
      <w:r w:rsidR="00716547">
        <w:t xml:space="preserve"> </w:t>
      </w:r>
      <w:r w:rsidRPr="00790A21">
        <w:t>%</w:t>
      </w:r>
      <w:r>
        <w:t xml:space="preserve"> i</w:t>
      </w:r>
      <w:r w:rsidRPr="00790A21">
        <w:t>n the total operational cost</w:t>
      </w:r>
      <w:r>
        <w:t xml:space="preserve"> when compared to conventional configuration</w:t>
      </w:r>
      <w:r w:rsidRPr="00790A21">
        <w:t xml:space="preserve">. This result highlights how the use of intensification techniques is advantageous for separation processes, especially distillation. However, it is important to highlight that this result would be even better if the steam used in all reboilers in the distillation columns were of the same </w:t>
      </w:r>
      <w:r>
        <w:t>pressure.</w:t>
      </w:r>
    </w:p>
    <w:p w14:paraId="28105A7D" w14:textId="20C7E80C" w:rsidR="002C2D8D" w:rsidRDefault="002C2D8D" w:rsidP="002C2D8D">
      <w:pPr>
        <w:pStyle w:val="Els-body-text"/>
      </w:pPr>
      <w:r w:rsidRPr="00790A21">
        <w:t xml:space="preserve">The capital cost, </w:t>
      </w:r>
      <w:r>
        <w:t>however</w:t>
      </w:r>
      <w:r w:rsidRPr="00790A21">
        <w:t>, negatively impacts the TAC of the intensified configuration, as it presents an increase of 3.32</w:t>
      </w:r>
      <w:r w:rsidR="00716547">
        <w:t xml:space="preserve"> </w:t>
      </w:r>
      <w:r w:rsidRPr="00790A21">
        <w:t xml:space="preserve">% in relation to the conventional configuration. The </w:t>
      </w:r>
      <w:r w:rsidRPr="00790A21">
        <w:lastRenderedPageBreak/>
        <w:t>main equipment that contributes to a higher capital cost are the vinasse preheaters, the compressor and the RDWC.</w:t>
      </w:r>
    </w:p>
    <w:p w14:paraId="06D7868C" w14:textId="73156B48" w:rsidR="002C2D8D" w:rsidRDefault="002C2D8D" w:rsidP="007758DE">
      <w:pPr>
        <w:pStyle w:val="Legenda"/>
        <w:keepNext/>
        <w:spacing w:before="120"/>
      </w:pPr>
      <w:bookmarkStart w:id="2" w:name="_Ref150966865"/>
      <w:r>
        <w:t xml:space="preserve">Table </w:t>
      </w:r>
      <w:r>
        <w:fldChar w:fldCharType="begin"/>
      </w:r>
      <w:r>
        <w:instrText xml:space="preserve"> SEQ Table \* ARABIC </w:instrText>
      </w:r>
      <w:r>
        <w:fldChar w:fldCharType="separate"/>
      </w:r>
      <w:r>
        <w:rPr>
          <w:noProof/>
        </w:rPr>
        <w:t>1</w:t>
      </w:r>
      <w:r>
        <w:fldChar w:fldCharType="end"/>
      </w:r>
      <w:bookmarkEnd w:id="2"/>
      <w:r>
        <w:t xml:space="preserve">. </w:t>
      </w:r>
      <w:r w:rsidRPr="00A314F1">
        <w:t xml:space="preserve">Optimal </w:t>
      </w:r>
      <w:r>
        <w:t>results</w:t>
      </w:r>
      <w:r w:rsidRPr="00A314F1">
        <w:t xml:space="preserve"> for the conventional and intensified configurations</w:t>
      </w:r>
      <w:r>
        <w:t>.</w:t>
      </w:r>
    </w:p>
    <w:tbl>
      <w:tblPr>
        <w:tblStyle w:val="Tabelacomgrade"/>
        <w:tblW w:w="6116" w:type="dxa"/>
        <w:tblLayout w:type="fixed"/>
        <w:tblLook w:val="04A0" w:firstRow="1" w:lastRow="0" w:firstColumn="1" w:lastColumn="0" w:noHBand="0" w:noVBand="1"/>
      </w:tblPr>
      <w:tblGrid>
        <w:gridCol w:w="3483"/>
        <w:gridCol w:w="1428"/>
        <w:gridCol w:w="1205"/>
      </w:tblGrid>
      <w:tr w:rsidR="00EB3EDC" w14:paraId="20884AB2" w14:textId="77777777" w:rsidTr="00EB3EDC">
        <w:trPr>
          <w:trHeight w:val="170"/>
        </w:trPr>
        <w:tc>
          <w:tcPr>
            <w:tcW w:w="3483" w:type="dxa"/>
            <w:tcBorders>
              <w:left w:val="nil"/>
              <w:bottom w:val="single" w:sz="4" w:space="0" w:color="auto"/>
              <w:right w:val="nil"/>
            </w:tcBorders>
            <w:vAlign w:val="center"/>
          </w:tcPr>
          <w:p w14:paraId="1E4D4F8F" w14:textId="77777777" w:rsidR="00EB3EDC" w:rsidRPr="00EB3EDC" w:rsidRDefault="00EB3EDC" w:rsidP="00EB3EDC">
            <w:pPr>
              <w:rPr>
                <w:rFonts w:cs="Times New Roman"/>
                <w:sz w:val="20"/>
                <w:szCs w:val="20"/>
              </w:rPr>
            </w:pPr>
          </w:p>
        </w:tc>
        <w:tc>
          <w:tcPr>
            <w:tcW w:w="1428" w:type="dxa"/>
            <w:tcBorders>
              <w:left w:val="nil"/>
              <w:bottom w:val="single" w:sz="4" w:space="0" w:color="auto"/>
              <w:right w:val="nil"/>
            </w:tcBorders>
            <w:vAlign w:val="center"/>
          </w:tcPr>
          <w:p w14:paraId="16F1F5D9" w14:textId="77777777" w:rsidR="00EB3EDC" w:rsidRPr="00EB3EDC" w:rsidRDefault="00EB3EDC" w:rsidP="00EB3EDC">
            <w:pPr>
              <w:rPr>
                <w:rFonts w:cs="Times New Roman"/>
                <w:sz w:val="20"/>
                <w:szCs w:val="20"/>
              </w:rPr>
            </w:pPr>
            <w:r w:rsidRPr="00EB3EDC">
              <w:rPr>
                <w:rFonts w:cs="Times New Roman"/>
                <w:b/>
                <w:bCs/>
                <w:i/>
                <w:sz w:val="20"/>
                <w:szCs w:val="20"/>
              </w:rPr>
              <w:t>Conventional</w:t>
            </w:r>
          </w:p>
        </w:tc>
        <w:tc>
          <w:tcPr>
            <w:tcW w:w="1205" w:type="dxa"/>
            <w:tcBorders>
              <w:left w:val="nil"/>
              <w:bottom w:val="single" w:sz="4" w:space="0" w:color="auto"/>
              <w:right w:val="nil"/>
            </w:tcBorders>
            <w:vAlign w:val="center"/>
          </w:tcPr>
          <w:p w14:paraId="5B713197" w14:textId="77777777" w:rsidR="00EB3EDC" w:rsidRPr="00EB3EDC" w:rsidRDefault="00EB3EDC" w:rsidP="00EB3EDC">
            <w:pPr>
              <w:rPr>
                <w:rFonts w:cs="Times New Roman"/>
                <w:sz w:val="20"/>
                <w:szCs w:val="20"/>
              </w:rPr>
            </w:pPr>
            <w:r w:rsidRPr="00EB3EDC">
              <w:rPr>
                <w:rFonts w:cs="Times New Roman"/>
                <w:b/>
                <w:bCs/>
                <w:i/>
                <w:sz w:val="20"/>
                <w:szCs w:val="20"/>
              </w:rPr>
              <w:t>Intensified</w:t>
            </w:r>
          </w:p>
        </w:tc>
      </w:tr>
      <w:tr w:rsidR="00EB3EDC" w14:paraId="0CD11BC8" w14:textId="77777777" w:rsidTr="00EB3EDC">
        <w:trPr>
          <w:trHeight w:val="170"/>
        </w:trPr>
        <w:tc>
          <w:tcPr>
            <w:tcW w:w="3483" w:type="dxa"/>
            <w:tcBorders>
              <w:left w:val="nil"/>
              <w:bottom w:val="nil"/>
              <w:right w:val="nil"/>
            </w:tcBorders>
            <w:vAlign w:val="center"/>
          </w:tcPr>
          <w:p w14:paraId="27A6442A" w14:textId="77777777" w:rsidR="00EB3EDC" w:rsidRPr="00EB3EDC" w:rsidRDefault="00EB3EDC" w:rsidP="00EB3EDC">
            <w:pPr>
              <w:rPr>
                <w:rFonts w:cs="Times New Roman"/>
                <w:b/>
                <w:bCs/>
                <w:sz w:val="20"/>
                <w:szCs w:val="20"/>
              </w:rPr>
            </w:pPr>
            <w:r w:rsidRPr="00EB3EDC">
              <w:rPr>
                <w:rFonts w:cs="Times New Roman"/>
                <w:b/>
                <w:bCs/>
                <w:sz w:val="20"/>
                <w:szCs w:val="20"/>
              </w:rPr>
              <w:t>Pre-Concentration Area</w:t>
            </w:r>
          </w:p>
        </w:tc>
        <w:tc>
          <w:tcPr>
            <w:tcW w:w="1428" w:type="dxa"/>
            <w:tcBorders>
              <w:left w:val="nil"/>
              <w:bottom w:val="nil"/>
              <w:right w:val="nil"/>
            </w:tcBorders>
            <w:vAlign w:val="center"/>
          </w:tcPr>
          <w:p w14:paraId="3091CD42" w14:textId="77777777" w:rsidR="00EB3EDC" w:rsidRPr="00EB3EDC" w:rsidRDefault="00EB3EDC" w:rsidP="00EB3EDC">
            <w:pPr>
              <w:rPr>
                <w:rFonts w:cs="Times New Roman"/>
                <w:sz w:val="20"/>
                <w:szCs w:val="20"/>
              </w:rPr>
            </w:pPr>
          </w:p>
        </w:tc>
        <w:tc>
          <w:tcPr>
            <w:tcW w:w="1205" w:type="dxa"/>
            <w:tcBorders>
              <w:left w:val="nil"/>
              <w:bottom w:val="nil"/>
              <w:right w:val="nil"/>
            </w:tcBorders>
            <w:vAlign w:val="center"/>
          </w:tcPr>
          <w:p w14:paraId="647C3A2F" w14:textId="77777777" w:rsidR="00EB3EDC" w:rsidRPr="00EB3EDC" w:rsidRDefault="00EB3EDC" w:rsidP="00EB3EDC">
            <w:pPr>
              <w:rPr>
                <w:rFonts w:cs="Times New Roman"/>
                <w:sz w:val="20"/>
                <w:szCs w:val="20"/>
              </w:rPr>
            </w:pPr>
          </w:p>
        </w:tc>
      </w:tr>
      <w:tr w:rsidR="00EB3EDC" w14:paraId="29A3F349" w14:textId="77777777" w:rsidTr="00EB3EDC">
        <w:trPr>
          <w:trHeight w:val="170"/>
        </w:trPr>
        <w:tc>
          <w:tcPr>
            <w:tcW w:w="3483" w:type="dxa"/>
            <w:tcBorders>
              <w:top w:val="nil"/>
              <w:left w:val="nil"/>
              <w:bottom w:val="nil"/>
              <w:right w:val="nil"/>
            </w:tcBorders>
            <w:vAlign w:val="center"/>
          </w:tcPr>
          <w:p w14:paraId="4D23810D" w14:textId="5E53968B" w:rsidR="00EB3EDC" w:rsidRPr="00EB3EDC" w:rsidRDefault="00EB3EDC" w:rsidP="00EB3EDC">
            <w:pPr>
              <w:rPr>
                <w:rFonts w:cs="Times New Roman"/>
                <w:sz w:val="20"/>
                <w:szCs w:val="20"/>
              </w:rPr>
            </w:pPr>
            <w:r w:rsidRPr="00EB3EDC">
              <w:rPr>
                <w:rFonts w:cs="Times New Roman"/>
                <w:sz w:val="20"/>
                <w:szCs w:val="20"/>
              </w:rPr>
              <w:t>Heat Duty (</w:t>
            </w:r>
            <w:r w:rsidR="001D1334">
              <w:rPr>
                <w:rFonts w:cs="Times New Roman"/>
                <w:sz w:val="20"/>
                <w:szCs w:val="20"/>
              </w:rPr>
              <w:t>MW</w:t>
            </w:r>
            <w:r w:rsidRPr="00EB3EDC">
              <w:rPr>
                <w:rFonts w:cs="Times New Roman"/>
                <w:sz w:val="20"/>
                <w:szCs w:val="20"/>
              </w:rPr>
              <w:t>)</w:t>
            </w:r>
          </w:p>
        </w:tc>
        <w:tc>
          <w:tcPr>
            <w:tcW w:w="1428" w:type="dxa"/>
            <w:tcBorders>
              <w:top w:val="nil"/>
              <w:left w:val="nil"/>
              <w:bottom w:val="nil"/>
              <w:right w:val="nil"/>
            </w:tcBorders>
            <w:vAlign w:val="center"/>
          </w:tcPr>
          <w:p w14:paraId="661AAECE" w14:textId="6E9679FA" w:rsidR="00EB3EDC" w:rsidRPr="00EB3EDC" w:rsidRDefault="001D1334" w:rsidP="00EB3EDC">
            <w:pPr>
              <w:rPr>
                <w:rFonts w:cs="Times New Roman"/>
                <w:sz w:val="20"/>
                <w:szCs w:val="20"/>
              </w:rPr>
            </w:pPr>
            <w:r>
              <w:rPr>
                <w:rFonts w:cs="Times New Roman"/>
                <w:sz w:val="20"/>
                <w:szCs w:val="20"/>
              </w:rPr>
              <w:t>11.33</w:t>
            </w:r>
          </w:p>
        </w:tc>
        <w:tc>
          <w:tcPr>
            <w:tcW w:w="1205" w:type="dxa"/>
            <w:tcBorders>
              <w:top w:val="nil"/>
              <w:left w:val="nil"/>
              <w:bottom w:val="nil"/>
              <w:right w:val="nil"/>
            </w:tcBorders>
            <w:vAlign w:val="center"/>
          </w:tcPr>
          <w:p w14:paraId="28B101EF" w14:textId="7B7024D4" w:rsidR="00EB3EDC" w:rsidRPr="00EB3EDC" w:rsidRDefault="001B15CC" w:rsidP="00EB3EDC">
            <w:pPr>
              <w:rPr>
                <w:rFonts w:cs="Times New Roman"/>
                <w:sz w:val="20"/>
                <w:szCs w:val="20"/>
              </w:rPr>
            </w:pPr>
            <w:r>
              <w:rPr>
                <w:rFonts w:cs="Times New Roman"/>
                <w:sz w:val="20"/>
                <w:szCs w:val="20"/>
              </w:rPr>
              <w:t>9.02</w:t>
            </w:r>
          </w:p>
        </w:tc>
      </w:tr>
      <w:tr w:rsidR="00EB3EDC" w14:paraId="4DAF221F" w14:textId="77777777" w:rsidTr="00EB3EDC">
        <w:trPr>
          <w:trHeight w:val="170"/>
        </w:trPr>
        <w:tc>
          <w:tcPr>
            <w:tcW w:w="3483" w:type="dxa"/>
            <w:tcBorders>
              <w:top w:val="nil"/>
              <w:left w:val="nil"/>
              <w:bottom w:val="nil"/>
              <w:right w:val="nil"/>
            </w:tcBorders>
            <w:vAlign w:val="center"/>
          </w:tcPr>
          <w:p w14:paraId="11B8F99C" w14:textId="706DAFD1" w:rsidR="00EB3EDC" w:rsidRPr="00EB3EDC" w:rsidRDefault="00EB3EDC" w:rsidP="00EB3EDC">
            <w:pPr>
              <w:rPr>
                <w:rFonts w:cs="Times New Roman"/>
                <w:sz w:val="20"/>
                <w:szCs w:val="20"/>
              </w:rPr>
            </w:pPr>
            <w:r w:rsidRPr="00EB3EDC">
              <w:rPr>
                <w:rFonts w:cs="Times New Roman"/>
                <w:sz w:val="20"/>
                <w:szCs w:val="20"/>
              </w:rPr>
              <w:t>Compressor Horsepower (</w:t>
            </w:r>
            <w:r w:rsidR="001B15CC">
              <w:rPr>
                <w:rFonts w:cs="Times New Roman"/>
                <w:sz w:val="20"/>
                <w:szCs w:val="20"/>
              </w:rPr>
              <w:t>MW</w:t>
            </w:r>
            <w:r w:rsidRPr="00EB3EDC">
              <w:rPr>
                <w:rFonts w:cs="Times New Roman"/>
                <w:sz w:val="20"/>
                <w:szCs w:val="20"/>
              </w:rPr>
              <w:t>)</w:t>
            </w:r>
          </w:p>
        </w:tc>
        <w:tc>
          <w:tcPr>
            <w:tcW w:w="1428" w:type="dxa"/>
            <w:tcBorders>
              <w:top w:val="nil"/>
              <w:left w:val="nil"/>
              <w:bottom w:val="nil"/>
              <w:right w:val="nil"/>
            </w:tcBorders>
            <w:vAlign w:val="center"/>
          </w:tcPr>
          <w:p w14:paraId="004C9118" w14:textId="2FB4931E" w:rsidR="00EB3EDC" w:rsidRPr="00EB3EDC" w:rsidRDefault="001B15CC" w:rsidP="00EB3EDC">
            <w:pPr>
              <w:rPr>
                <w:rFonts w:cs="Times New Roman"/>
                <w:sz w:val="20"/>
                <w:szCs w:val="20"/>
              </w:rPr>
            </w:pPr>
            <w:r>
              <w:rPr>
                <w:rFonts w:cs="Times New Roman"/>
                <w:sz w:val="20"/>
                <w:szCs w:val="20"/>
              </w:rPr>
              <w:t>6.07</w:t>
            </w:r>
          </w:p>
        </w:tc>
        <w:tc>
          <w:tcPr>
            <w:tcW w:w="1205" w:type="dxa"/>
            <w:tcBorders>
              <w:top w:val="nil"/>
              <w:left w:val="nil"/>
              <w:bottom w:val="nil"/>
              <w:right w:val="nil"/>
            </w:tcBorders>
            <w:vAlign w:val="center"/>
          </w:tcPr>
          <w:p w14:paraId="1466FAC5" w14:textId="5D02B7DC" w:rsidR="00EB3EDC" w:rsidRPr="00EB3EDC" w:rsidRDefault="00C40200" w:rsidP="00EB3EDC">
            <w:pPr>
              <w:rPr>
                <w:rFonts w:cs="Times New Roman"/>
                <w:sz w:val="20"/>
                <w:szCs w:val="20"/>
              </w:rPr>
            </w:pPr>
            <w:r>
              <w:rPr>
                <w:rFonts w:cs="Times New Roman"/>
                <w:sz w:val="20"/>
                <w:szCs w:val="20"/>
              </w:rPr>
              <w:t>6.34</w:t>
            </w:r>
          </w:p>
        </w:tc>
      </w:tr>
      <w:tr w:rsidR="00EB3EDC" w14:paraId="560B8AAE" w14:textId="77777777" w:rsidTr="00EB3EDC">
        <w:trPr>
          <w:trHeight w:val="170"/>
        </w:trPr>
        <w:tc>
          <w:tcPr>
            <w:tcW w:w="3483" w:type="dxa"/>
            <w:tcBorders>
              <w:top w:val="nil"/>
              <w:left w:val="nil"/>
              <w:bottom w:val="nil"/>
              <w:right w:val="nil"/>
            </w:tcBorders>
            <w:vAlign w:val="center"/>
          </w:tcPr>
          <w:p w14:paraId="52BCDD34" w14:textId="77777777" w:rsidR="00EB3EDC" w:rsidRPr="00EB3EDC" w:rsidRDefault="00EB3EDC" w:rsidP="00EB3EDC">
            <w:pPr>
              <w:rPr>
                <w:rFonts w:cs="Times New Roman"/>
                <w:sz w:val="20"/>
                <w:szCs w:val="20"/>
              </w:rPr>
            </w:pPr>
            <w:r w:rsidRPr="00EB3EDC">
              <w:rPr>
                <w:rFonts w:cs="Times New Roman"/>
                <w:sz w:val="20"/>
                <w:szCs w:val="20"/>
              </w:rPr>
              <w:t>Capital Cost (MMU$)</w:t>
            </w:r>
          </w:p>
        </w:tc>
        <w:tc>
          <w:tcPr>
            <w:tcW w:w="1428" w:type="dxa"/>
            <w:tcBorders>
              <w:top w:val="nil"/>
              <w:left w:val="nil"/>
              <w:bottom w:val="nil"/>
              <w:right w:val="nil"/>
            </w:tcBorders>
            <w:vAlign w:val="center"/>
          </w:tcPr>
          <w:p w14:paraId="327EED0E" w14:textId="21D31032" w:rsidR="00EB3EDC" w:rsidRPr="00EB3EDC" w:rsidRDefault="00A94303" w:rsidP="00EB3EDC">
            <w:pPr>
              <w:rPr>
                <w:rFonts w:cs="Times New Roman"/>
                <w:sz w:val="20"/>
                <w:szCs w:val="20"/>
              </w:rPr>
            </w:pPr>
            <w:r>
              <w:rPr>
                <w:rFonts w:cs="Times New Roman"/>
                <w:sz w:val="20"/>
                <w:szCs w:val="20"/>
              </w:rPr>
              <w:t>10.19</w:t>
            </w:r>
          </w:p>
        </w:tc>
        <w:tc>
          <w:tcPr>
            <w:tcW w:w="1205" w:type="dxa"/>
            <w:tcBorders>
              <w:top w:val="nil"/>
              <w:left w:val="nil"/>
              <w:bottom w:val="nil"/>
              <w:right w:val="nil"/>
            </w:tcBorders>
            <w:vAlign w:val="center"/>
          </w:tcPr>
          <w:p w14:paraId="4A5911C5" w14:textId="3B5B5653" w:rsidR="00EB3EDC" w:rsidRPr="00EB3EDC" w:rsidRDefault="00A94303" w:rsidP="00EB3EDC">
            <w:pPr>
              <w:rPr>
                <w:rFonts w:cs="Times New Roman"/>
                <w:sz w:val="20"/>
                <w:szCs w:val="20"/>
              </w:rPr>
            </w:pPr>
            <w:r>
              <w:rPr>
                <w:rFonts w:cs="Times New Roman"/>
                <w:sz w:val="20"/>
                <w:szCs w:val="20"/>
              </w:rPr>
              <w:t>10.40</w:t>
            </w:r>
          </w:p>
        </w:tc>
      </w:tr>
      <w:tr w:rsidR="00EB3EDC" w14:paraId="6DCC6E1D" w14:textId="77777777" w:rsidTr="00EB3EDC">
        <w:trPr>
          <w:trHeight w:val="170"/>
        </w:trPr>
        <w:tc>
          <w:tcPr>
            <w:tcW w:w="3483" w:type="dxa"/>
            <w:tcBorders>
              <w:top w:val="nil"/>
              <w:left w:val="nil"/>
              <w:bottom w:val="nil"/>
              <w:right w:val="nil"/>
            </w:tcBorders>
            <w:vAlign w:val="center"/>
          </w:tcPr>
          <w:p w14:paraId="13D4266E" w14:textId="7F9079AE" w:rsidR="00EB3EDC" w:rsidRPr="00EB3EDC" w:rsidRDefault="00EB3EDC" w:rsidP="00EB3EDC">
            <w:pPr>
              <w:rPr>
                <w:rFonts w:cs="Times New Roman"/>
                <w:sz w:val="20"/>
                <w:szCs w:val="20"/>
              </w:rPr>
            </w:pPr>
            <w:r w:rsidRPr="00EB3EDC">
              <w:rPr>
                <w:rFonts w:cs="Times New Roman"/>
                <w:sz w:val="20"/>
                <w:szCs w:val="20"/>
              </w:rPr>
              <w:t>Operational Cost (MMU$/</w:t>
            </w:r>
            <w:r w:rsidR="00325EDE">
              <w:rPr>
                <w:rFonts w:cs="Times New Roman"/>
                <w:sz w:val="20"/>
                <w:szCs w:val="20"/>
              </w:rPr>
              <w:t>Y</w:t>
            </w:r>
            <w:r w:rsidRPr="00EB3EDC">
              <w:rPr>
                <w:rFonts w:cs="Times New Roman"/>
                <w:sz w:val="20"/>
                <w:szCs w:val="20"/>
              </w:rPr>
              <w:t>)</w:t>
            </w:r>
          </w:p>
        </w:tc>
        <w:tc>
          <w:tcPr>
            <w:tcW w:w="1428" w:type="dxa"/>
            <w:tcBorders>
              <w:top w:val="nil"/>
              <w:left w:val="nil"/>
              <w:bottom w:val="nil"/>
              <w:right w:val="nil"/>
            </w:tcBorders>
            <w:vAlign w:val="center"/>
          </w:tcPr>
          <w:p w14:paraId="4CD30F0B" w14:textId="7052517A" w:rsidR="00EB3EDC" w:rsidRPr="00EB3EDC" w:rsidRDefault="00A94303" w:rsidP="00EB3EDC">
            <w:pPr>
              <w:rPr>
                <w:rFonts w:cs="Times New Roman"/>
                <w:sz w:val="20"/>
                <w:szCs w:val="20"/>
              </w:rPr>
            </w:pPr>
            <w:r>
              <w:rPr>
                <w:rFonts w:cs="Times New Roman"/>
                <w:sz w:val="20"/>
                <w:szCs w:val="20"/>
              </w:rPr>
              <w:t>5.49</w:t>
            </w:r>
          </w:p>
        </w:tc>
        <w:tc>
          <w:tcPr>
            <w:tcW w:w="1205" w:type="dxa"/>
            <w:tcBorders>
              <w:top w:val="nil"/>
              <w:left w:val="nil"/>
              <w:bottom w:val="nil"/>
              <w:right w:val="nil"/>
            </w:tcBorders>
            <w:vAlign w:val="center"/>
          </w:tcPr>
          <w:p w14:paraId="57F504F7" w14:textId="2044BF0B" w:rsidR="00EB3EDC" w:rsidRPr="00EB3EDC" w:rsidRDefault="00A94303" w:rsidP="00EB3EDC">
            <w:pPr>
              <w:rPr>
                <w:rFonts w:cs="Times New Roman"/>
                <w:sz w:val="20"/>
                <w:szCs w:val="20"/>
              </w:rPr>
            </w:pPr>
            <w:r>
              <w:rPr>
                <w:rFonts w:cs="Times New Roman"/>
                <w:sz w:val="20"/>
                <w:szCs w:val="20"/>
              </w:rPr>
              <w:t>5.11</w:t>
            </w:r>
          </w:p>
        </w:tc>
      </w:tr>
      <w:tr w:rsidR="00EB3EDC" w:rsidRPr="00127830" w14:paraId="6FDB965E" w14:textId="77777777" w:rsidTr="00EB3EDC">
        <w:trPr>
          <w:trHeight w:val="170"/>
        </w:trPr>
        <w:tc>
          <w:tcPr>
            <w:tcW w:w="3483" w:type="dxa"/>
            <w:tcBorders>
              <w:top w:val="single" w:sz="4" w:space="0" w:color="auto"/>
              <w:left w:val="nil"/>
              <w:bottom w:val="nil"/>
              <w:right w:val="nil"/>
            </w:tcBorders>
            <w:vAlign w:val="center"/>
          </w:tcPr>
          <w:p w14:paraId="56A94E70" w14:textId="77777777" w:rsidR="00EB3EDC" w:rsidRPr="00EB3EDC" w:rsidRDefault="00EB3EDC" w:rsidP="00EB3EDC">
            <w:pPr>
              <w:rPr>
                <w:rFonts w:cs="Times New Roman"/>
                <w:sz w:val="20"/>
                <w:szCs w:val="20"/>
              </w:rPr>
            </w:pPr>
            <w:r w:rsidRPr="00EB3EDC">
              <w:rPr>
                <w:rFonts w:cs="Times New Roman"/>
                <w:b/>
                <w:bCs/>
                <w:sz w:val="20"/>
                <w:szCs w:val="20"/>
              </w:rPr>
              <w:t>Acid Recovery and Purification Area</w:t>
            </w:r>
          </w:p>
        </w:tc>
        <w:tc>
          <w:tcPr>
            <w:tcW w:w="1428" w:type="dxa"/>
            <w:tcBorders>
              <w:top w:val="single" w:sz="4" w:space="0" w:color="auto"/>
              <w:left w:val="nil"/>
              <w:bottom w:val="nil"/>
              <w:right w:val="nil"/>
            </w:tcBorders>
            <w:vAlign w:val="center"/>
          </w:tcPr>
          <w:p w14:paraId="3832FAED" w14:textId="77777777" w:rsidR="00EB3EDC" w:rsidRPr="00EB3EDC" w:rsidRDefault="00EB3EDC" w:rsidP="00EB3EDC">
            <w:pPr>
              <w:rPr>
                <w:rFonts w:cs="Times New Roman"/>
                <w:sz w:val="20"/>
                <w:szCs w:val="20"/>
              </w:rPr>
            </w:pPr>
          </w:p>
        </w:tc>
        <w:tc>
          <w:tcPr>
            <w:tcW w:w="1205" w:type="dxa"/>
            <w:tcBorders>
              <w:top w:val="single" w:sz="4" w:space="0" w:color="auto"/>
              <w:left w:val="nil"/>
              <w:bottom w:val="nil"/>
              <w:right w:val="nil"/>
            </w:tcBorders>
            <w:vAlign w:val="center"/>
          </w:tcPr>
          <w:p w14:paraId="16D12094" w14:textId="77777777" w:rsidR="00EB3EDC" w:rsidRPr="00EB3EDC" w:rsidRDefault="00EB3EDC" w:rsidP="00EB3EDC">
            <w:pPr>
              <w:rPr>
                <w:rFonts w:cs="Times New Roman"/>
                <w:sz w:val="20"/>
                <w:szCs w:val="20"/>
              </w:rPr>
            </w:pPr>
          </w:p>
        </w:tc>
      </w:tr>
      <w:tr w:rsidR="00EB3EDC" w14:paraId="27760260" w14:textId="77777777" w:rsidTr="00EB3EDC">
        <w:trPr>
          <w:trHeight w:val="170"/>
        </w:trPr>
        <w:tc>
          <w:tcPr>
            <w:tcW w:w="3483" w:type="dxa"/>
            <w:tcBorders>
              <w:top w:val="nil"/>
              <w:left w:val="nil"/>
              <w:bottom w:val="nil"/>
              <w:right w:val="nil"/>
            </w:tcBorders>
            <w:vAlign w:val="center"/>
          </w:tcPr>
          <w:p w14:paraId="562494B9" w14:textId="26A924E0" w:rsidR="00EB3EDC" w:rsidRPr="00EB3EDC" w:rsidRDefault="00EB3EDC" w:rsidP="00EB3EDC">
            <w:pPr>
              <w:rPr>
                <w:rFonts w:cs="Times New Roman"/>
                <w:sz w:val="20"/>
                <w:szCs w:val="20"/>
              </w:rPr>
            </w:pPr>
            <w:r w:rsidRPr="00EB3EDC">
              <w:rPr>
                <w:rFonts w:cs="Times New Roman"/>
                <w:sz w:val="20"/>
                <w:szCs w:val="20"/>
              </w:rPr>
              <w:t>Heat Duty (</w:t>
            </w:r>
            <w:r w:rsidR="00C40200">
              <w:rPr>
                <w:rFonts w:cs="Times New Roman"/>
                <w:sz w:val="20"/>
                <w:szCs w:val="20"/>
              </w:rPr>
              <w:t>MW</w:t>
            </w:r>
            <w:r w:rsidRPr="00EB3EDC">
              <w:rPr>
                <w:rFonts w:cs="Times New Roman"/>
                <w:sz w:val="20"/>
                <w:szCs w:val="20"/>
              </w:rPr>
              <w:t>)</w:t>
            </w:r>
          </w:p>
        </w:tc>
        <w:tc>
          <w:tcPr>
            <w:tcW w:w="1428" w:type="dxa"/>
            <w:tcBorders>
              <w:top w:val="nil"/>
              <w:left w:val="nil"/>
              <w:bottom w:val="nil"/>
              <w:right w:val="nil"/>
            </w:tcBorders>
            <w:vAlign w:val="center"/>
          </w:tcPr>
          <w:p w14:paraId="546A71B8" w14:textId="11B4C8E0" w:rsidR="00EB3EDC" w:rsidRPr="00EB3EDC" w:rsidRDefault="00C40200" w:rsidP="00EB3EDC">
            <w:pPr>
              <w:rPr>
                <w:rFonts w:cs="Times New Roman"/>
                <w:sz w:val="20"/>
                <w:szCs w:val="20"/>
              </w:rPr>
            </w:pPr>
            <w:r>
              <w:rPr>
                <w:rFonts w:cs="Times New Roman"/>
                <w:sz w:val="20"/>
                <w:szCs w:val="20"/>
              </w:rPr>
              <w:t>14.09</w:t>
            </w:r>
          </w:p>
        </w:tc>
        <w:tc>
          <w:tcPr>
            <w:tcW w:w="1205" w:type="dxa"/>
            <w:tcBorders>
              <w:top w:val="nil"/>
              <w:left w:val="nil"/>
              <w:bottom w:val="nil"/>
              <w:right w:val="nil"/>
            </w:tcBorders>
            <w:vAlign w:val="center"/>
          </w:tcPr>
          <w:p w14:paraId="12998AFF" w14:textId="4A00180C" w:rsidR="00EB3EDC" w:rsidRPr="00EB3EDC" w:rsidRDefault="00C40200" w:rsidP="00EB3EDC">
            <w:pPr>
              <w:rPr>
                <w:rFonts w:cs="Times New Roman"/>
                <w:sz w:val="20"/>
                <w:szCs w:val="20"/>
              </w:rPr>
            </w:pPr>
            <w:r>
              <w:rPr>
                <w:rFonts w:cs="Times New Roman"/>
                <w:sz w:val="20"/>
                <w:szCs w:val="20"/>
              </w:rPr>
              <w:t>12.27</w:t>
            </w:r>
          </w:p>
        </w:tc>
      </w:tr>
      <w:tr w:rsidR="00EB3EDC" w14:paraId="43095F46" w14:textId="77777777" w:rsidTr="00EB3EDC">
        <w:trPr>
          <w:trHeight w:val="170"/>
        </w:trPr>
        <w:tc>
          <w:tcPr>
            <w:tcW w:w="3483" w:type="dxa"/>
            <w:tcBorders>
              <w:top w:val="nil"/>
              <w:left w:val="nil"/>
              <w:bottom w:val="nil"/>
              <w:right w:val="nil"/>
            </w:tcBorders>
            <w:vAlign w:val="center"/>
          </w:tcPr>
          <w:p w14:paraId="7545D704" w14:textId="5F939169" w:rsidR="00EB3EDC" w:rsidRPr="00EB3EDC" w:rsidRDefault="00EB3EDC" w:rsidP="00EB3EDC">
            <w:pPr>
              <w:rPr>
                <w:rFonts w:cs="Times New Roman"/>
                <w:sz w:val="20"/>
                <w:szCs w:val="20"/>
              </w:rPr>
            </w:pPr>
            <w:r w:rsidRPr="00EB3EDC">
              <w:rPr>
                <w:rFonts w:cs="Times New Roman"/>
                <w:sz w:val="20"/>
                <w:szCs w:val="20"/>
              </w:rPr>
              <w:t>Condenser Duty (</w:t>
            </w:r>
            <w:r w:rsidR="00C40200">
              <w:rPr>
                <w:rFonts w:cs="Times New Roman"/>
                <w:sz w:val="20"/>
                <w:szCs w:val="20"/>
              </w:rPr>
              <w:t>MW</w:t>
            </w:r>
            <w:r w:rsidRPr="00EB3EDC">
              <w:rPr>
                <w:rFonts w:cs="Times New Roman"/>
                <w:sz w:val="20"/>
                <w:szCs w:val="20"/>
              </w:rPr>
              <w:t>)</w:t>
            </w:r>
          </w:p>
        </w:tc>
        <w:tc>
          <w:tcPr>
            <w:tcW w:w="1428" w:type="dxa"/>
            <w:tcBorders>
              <w:top w:val="nil"/>
              <w:left w:val="nil"/>
              <w:bottom w:val="nil"/>
              <w:right w:val="nil"/>
            </w:tcBorders>
            <w:vAlign w:val="center"/>
          </w:tcPr>
          <w:p w14:paraId="1356B2DC" w14:textId="216875F2" w:rsidR="00EB3EDC" w:rsidRPr="00EB3EDC" w:rsidRDefault="00A33D07" w:rsidP="00EB3EDC">
            <w:pPr>
              <w:rPr>
                <w:rFonts w:cs="Times New Roman"/>
                <w:sz w:val="20"/>
                <w:szCs w:val="20"/>
              </w:rPr>
            </w:pPr>
            <w:r>
              <w:rPr>
                <w:rFonts w:cs="Times New Roman"/>
                <w:sz w:val="20"/>
                <w:szCs w:val="20"/>
              </w:rPr>
              <w:t>-10.55</w:t>
            </w:r>
          </w:p>
        </w:tc>
        <w:tc>
          <w:tcPr>
            <w:tcW w:w="1205" w:type="dxa"/>
            <w:tcBorders>
              <w:top w:val="nil"/>
              <w:left w:val="nil"/>
              <w:bottom w:val="nil"/>
              <w:right w:val="nil"/>
            </w:tcBorders>
            <w:vAlign w:val="center"/>
          </w:tcPr>
          <w:p w14:paraId="001865E3" w14:textId="48B1734D" w:rsidR="00EB3EDC" w:rsidRPr="00EB3EDC" w:rsidRDefault="00A33D07" w:rsidP="00EB3EDC">
            <w:pPr>
              <w:rPr>
                <w:rFonts w:cs="Times New Roman"/>
                <w:sz w:val="20"/>
                <w:szCs w:val="20"/>
              </w:rPr>
            </w:pPr>
            <w:r>
              <w:rPr>
                <w:rFonts w:cs="Times New Roman"/>
                <w:sz w:val="20"/>
                <w:szCs w:val="20"/>
              </w:rPr>
              <w:t>-8.57</w:t>
            </w:r>
          </w:p>
        </w:tc>
      </w:tr>
      <w:tr w:rsidR="00EB3EDC" w14:paraId="61DEB3F3" w14:textId="77777777" w:rsidTr="00EB3EDC">
        <w:trPr>
          <w:trHeight w:val="170"/>
        </w:trPr>
        <w:tc>
          <w:tcPr>
            <w:tcW w:w="3483" w:type="dxa"/>
            <w:tcBorders>
              <w:top w:val="nil"/>
              <w:left w:val="nil"/>
              <w:bottom w:val="nil"/>
              <w:right w:val="nil"/>
            </w:tcBorders>
            <w:vAlign w:val="center"/>
          </w:tcPr>
          <w:p w14:paraId="5998E7E8" w14:textId="77777777" w:rsidR="00EB3EDC" w:rsidRPr="00EB3EDC" w:rsidRDefault="00EB3EDC" w:rsidP="00EB3EDC">
            <w:pPr>
              <w:rPr>
                <w:rFonts w:cs="Times New Roman"/>
                <w:sz w:val="20"/>
                <w:szCs w:val="20"/>
              </w:rPr>
            </w:pPr>
            <w:r w:rsidRPr="00EB3EDC">
              <w:rPr>
                <w:rFonts w:cs="Times New Roman"/>
                <w:sz w:val="20"/>
                <w:szCs w:val="20"/>
              </w:rPr>
              <w:t>Capital Cost (MMU$)</w:t>
            </w:r>
          </w:p>
        </w:tc>
        <w:tc>
          <w:tcPr>
            <w:tcW w:w="1428" w:type="dxa"/>
            <w:tcBorders>
              <w:top w:val="nil"/>
              <w:left w:val="nil"/>
              <w:bottom w:val="nil"/>
              <w:right w:val="nil"/>
            </w:tcBorders>
            <w:vAlign w:val="center"/>
          </w:tcPr>
          <w:p w14:paraId="5A0590D6" w14:textId="4051EDEC" w:rsidR="00EB3EDC" w:rsidRPr="00EB3EDC" w:rsidRDefault="00A94303" w:rsidP="00EB3EDC">
            <w:pPr>
              <w:rPr>
                <w:rFonts w:cs="Times New Roman"/>
                <w:sz w:val="20"/>
                <w:szCs w:val="20"/>
              </w:rPr>
            </w:pPr>
            <w:r>
              <w:rPr>
                <w:rFonts w:cs="Times New Roman"/>
                <w:sz w:val="20"/>
                <w:szCs w:val="20"/>
              </w:rPr>
              <w:t>1.87</w:t>
            </w:r>
          </w:p>
        </w:tc>
        <w:tc>
          <w:tcPr>
            <w:tcW w:w="1205" w:type="dxa"/>
            <w:tcBorders>
              <w:top w:val="nil"/>
              <w:left w:val="nil"/>
              <w:bottom w:val="nil"/>
              <w:right w:val="nil"/>
            </w:tcBorders>
            <w:vAlign w:val="center"/>
          </w:tcPr>
          <w:p w14:paraId="22924E9D" w14:textId="00032B14" w:rsidR="00EB3EDC" w:rsidRPr="00EB3EDC" w:rsidRDefault="00A94303" w:rsidP="00EB3EDC">
            <w:pPr>
              <w:rPr>
                <w:rFonts w:cs="Times New Roman"/>
                <w:sz w:val="20"/>
                <w:szCs w:val="20"/>
              </w:rPr>
            </w:pPr>
            <w:r>
              <w:rPr>
                <w:rFonts w:cs="Times New Roman"/>
                <w:sz w:val="20"/>
                <w:szCs w:val="20"/>
              </w:rPr>
              <w:t>2.11</w:t>
            </w:r>
          </w:p>
        </w:tc>
      </w:tr>
      <w:tr w:rsidR="00EB3EDC" w14:paraId="6C3AEC2E" w14:textId="77777777" w:rsidTr="00EB3EDC">
        <w:trPr>
          <w:trHeight w:val="170"/>
        </w:trPr>
        <w:tc>
          <w:tcPr>
            <w:tcW w:w="3483" w:type="dxa"/>
            <w:tcBorders>
              <w:top w:val="nil"/>
              <w:left w:val="nil"/>
              <w:bottom w:val="nil"/>
              <w:right w:val="nil"/>
            </w:tcBorders>
            <w:vAlign w:val="center"/>
          </w:tcPr>
          <w:p w14:paraId="37AA6617" w14:textId="5AB16130" w:rsidR="00EB3EDC" w:rsidRPr="00EB3EDC" w:rsidRDefault="00EB3EDC" w:rsidP="00EB3EDC">
            <w:pPr>
              <w:rPr>
                <w:rFonts w:cs="Times New Roman"/>
                <w:sz w:val="20"/>
                <w:szCs w:val="20"/>
              </w:rPr>
            </w:pPr>
            <w:r w:rsidRPr="00EB3EDC">
              <w:rPr>
                <w:rFonts w:cs="Times New Roman"/>
                <w:sz w:val="20"/>
                <w:szCs w:val="20"/>
              </w:rPr>
              <w:t>Operational Cost (MMU$/</w:t>
            </w:r>
            <w:r w:rsidR="00325EDE">
              <w:rPr>
                <w:rFonts w:cs="Times New Roman"/>
                <w:sz w:val="20"/>
                <w:szCs w:val="20"/>
              </w:rPr>
              <w:t>Y</w:t>
            </w:r>
            <w:r w:rsidRPr="00EB3EDC">
              <w:rPr>
                <w:rFonts w:cs="Times New Roman"/>
                <w:sz w:val="20"/>
                <w:szCs w:val="20"/>
              </w:rPr>
              <w:t>)</w:t>
            </w:r>
          </w:p>
        </w:tc>
        <w:tc>
          <w:tcPr>
            <w:tcW w:w="1428" w:type="dxa"/>
            <w:tcBorders>
              <w:top w:val="nil"/>
              <w:left w:val="nil"/>
              <w:bottom w:val="nil"/>
              <w:right w:val="nil"/>
            </w:tcBorders>
            <w:vAlign w:val="center"/>
          </w:tcPr>
          <w:p w14:paraId="1F1B6104" w14:textId="6CDA575B" w:rsidR="00EB3EDC" w:rsidRPr="00EB3EDC" w:rsidRDefault="00A94303" w:rsidP="00EB3EDC">
            <w:pPr>
              <w:rPr>
                <w:rFonts w:cs="Times New Roman"/>
                <w:sz w:val="20"/>
                <w:szCs w:val="20"/>
              </w:rPr>
            </w:pPr>
            <w:r>
              <w:rPr>
                <w:rFonts w:cs="Times New Roman"/>
                <w:sz w:val="20"/>
                <w:szCs w:val="20"/>
              </w:rPr>
              <w:t>1.28</w:t>
            </w:r>
          </w:p>
        </w:tc>
        <w:tc>
          <w:tcPr>
            <w:tcW w:w="1205" w:type="dxa"/>
            <w:tcBorders>
              <w:top w:val="nil"/>
              <w:left w:val="nil"/>
              <w:bottom w:val="nil"/>
              <w:right w:val="nil"/>
            </w:tcBorders>
            <w:vAlign w:val="center"/>
          </w:tcPr>
          <w:p w14:paraId="78659610" w14:textId="34C987C3" w:rsidR="00EB3EDC" w:rsidRPr="00EB3EDC" w:rsidRDefault="00A94303" w:rsidP="00EB3EDC">
            <w:pPr>
              <w:rPr>
                <w:rFonts w:cs="Times New Roman"/>
                <w:sz w:val="20"/>
                <w:szCs w:val="20"/>
              </w:rPr>
            </w:pPr>
            <w:r>
              <w:rPr>
                <w:rFonts w:cs="Times New Roman"/>
                <w:sz w:val="20"/>
                <w:szCs w:val="20"/>
              </w:rPr>
              <w:t>1.50</w:t>
            </w:r>
          </w:p>
        </w:tc>
      </w:tr>
      <w:tr w:rsidR="00EB3EDC" w14:paraId="51682F39" w14:textId="77777777" w:rsidTr="00EB3EDC">
        <w:trPr>
          <w:trHeight w:val="170"/>
        </w:trPr>
        <w:tc>
          <w:tcPr>
            <w:tcW w:w="3483" w:type="dxa"/>
            <w:tcBorders>
              <w:top w:val="single" w:sz="4" w:space="0" w:color="auto"/>
              <w:left w:val="nil"/>
              <w:bottom w:val="nil"/>
              <w:right w:val="nil"/>
            </w:tcBorders>
            <w:vAlign w:val="center"/>
          </w:tcPr>
          <w:p w14:paraId="2B839108" w14:textId="77777777" w:rsidR="00EB3EDC" w:rsidRPr="00EB3EDC" w:rsidRDefault="00EB3EDC" w:rsidP="00EB3EDC">
            <w:pPr>
              <w:rPr>
                <w:rFonts w:cs="Times New Roman"/>
                <w:b/>
                <w:bCs/>
                <w:sz w:val="20"/>
                <w:szCs w:val="20"/>
              </w:rPr>
            </w:pPr>
            <w:r w:rsidRPr="00EB3EDC">
              <w:rPr>
                <w:rFonts w:cs="Times New Roman"/>
                <w:b/>
                <w:bCs/>
                <w:sz w:val="20"/>
                <w:szCs w:val="20"/>
              </w:rPr>
              <w:t>Alcohol Recovery Area</w:t>
            </w:r>
          </w:p>
        </w:tc>
        <w:tc>
          <w:tcPr>
            <w:tcW w:w="1428" w:type="dxa"/>
            <w:tcBorders>
              <w:top w:val="single" w:sz="4" w:space="0" w:color="auto"/>
              <w:left w:val="nil"/>
              <w:bottom w:val="nil"/>
              <w:right w:val="nil"/>
            </w:tcBorders>
            <w:vAlign w:val="center"/>
          </w:tcPr>
          <w:p w14:paraId="715F9E2B" w14:textId="77777777" w:rsidR="00EB3EDC" w:rsidRPr="00EB3EDC" w:rsidRDefault="00EB3EDC" w:rsidP="00EB3EDC">
            <w:pPr>
              <w:rPr>
                <w:rFonts w:cs="Times New Roman"/>
                <w:sz w:val="20"/>
                <w:szCs w:val="20"/>
              </w:rPr>
            </w:pPr>
          </w:p>
        </w:tc>
        <w:tc>
          <w:tcPr>
            <w:tcW w:w="1205" w:type="dxa"/>
            <w:tcBorders>
              <w:top w:val="single" w:sz="4" w:space="0" w:color="auto"/>
              <w:left w:val="nil"/>
              <w:bottom w:val="nil"/>
              <w:right w:val="nil"/>
            </w:tcBorders>
            <w:vAlign w:val="center"/>
          </w:tcPr>
          <w:p w14:paraId="7C43D5A6" w14:textId="77777777" w:rsidR="00EB3EDC" w:rsidRPr="00EB3EDC" w:rsidRDefault="00EB3EDC" w:rsidP="00EB3EDC">
            <w:pPr>
              <w:rPr>
                <w:rFonts w:cs="Times New Roman"/>
                <w:sz w:val="20"/>
                <w:szCs w:val="20"/>
              </w:rPr>
            </w:pPr>
          </w:p>
        </w:tc>
      </w:tr>
      <w:tr w:rsidR="00EB3EDC" w14:paraId="5C0C21FF" w14:textId="77777777" w:rsidTr="00EB3EDC">
        <w:trPr>
          <w:trHeight w:val="170"/>
        </w:trPr>
        <w:tc>
          <w:tcPr>
            <w:tcW w:w="3483" w:type="dxa"/>
            <w:tcBorders>
              <w:top w:val="nil"/>
              <w:left w:val="nil"/>
              <w:bottom w:val="nil"/>
              <w:right w:val="nil"/>
            </w:tcBorders>
            <w:vAlign w:val="center"/>
          </w:tcPr>
          <w:p w14:paraId="24E88988" w14:textId="74AE4709" w:rsidR="00EB3EDC" w:rsidRPr="00EB3EDC" w:rsidRDefault="00EB3EDC" w:rsidP="00EB3EDC">
            <w:pPr>
              <w:rPr>
                <w:rFonts w:cs="Times New Roman"/>
                <w:sz w:val="20"/>
                <w:szCs w:val="20"/>
              </w:rPr>
            </w:pPr>
            <w:r w:rsidRPr="00EB3EDC">
              <w:rPr>
                <w:rFonts w:cs="Times New Roman"/>
                <w:sz w:val="20"/>
                <w:szCs w:val="20"/>
              </w:rPr>
              <w:t>Heat Duty (</w:t>
            </w:r>
            <w:r w:rsidR="00A33D07">
              <w:rPr>
                <w:rFonts w:cs="Times New Roman"/>
                <w:sz w:val="20"/>
                <w:szCs w:val="20"/>
              </w:rPr>
              <w:t>MW</w:t>
            </w:r>
            <w:r w:rsidRPr="00EB3EDC">
              <w:rPr>
                <w:rFonts w:cs="Times New Roman"/>
                <w:sz w:val="20"/>
                <w:szCs w:val="20"/>
              </w:rPr>
              <w:t>)</w:t>
            </w:r>
          </w:p>
        </w:tc>
        <w:tc>
          <w:tcPr>
            <w:tcW w:w="1428" w:type="dxa"/>
            <w:tcBorders>
              <w:top w:val="nil"/>
              <w:left w:val="nil"/>
              <w:bottom w:val="nil"/>
              <w:right w:val="nil"/>
            </w:tcBorders>
            <w:vAlign w:val="center"/>
          </w:tcPr>
          <w:p w14:paraId="07F0E87F" w14:textId="78DF03D0" w:rsidR="00EB3EDC" w:rsidRPr="00EB3EDC" w:rsidRDefault="00A33D07" w:rsidP="00EB3EDC">
            <w:pPr>
              <w:rPr>
                <w:rFonts w:cs="Times New Roman"/>
                <w:sz w:val="20"/>
                <w:szCs w:val="20"/>
              </w:rPr>
            </w:pPr>
            <w:r>
              <w:rPr>
                <w:rFonts w:cs="Times New Roman"/>
                <w:sz w:val="20"/>
                <w:szCs w:val="20"/>
              </w:rPr>
              <w:t>0.69</w:t>
            </w:r>
          </w:p>
        </w:tc>
        <w:tc>
          <w:tcPr>
            <w:tcW w:w="1205" w:type="dxa"/>
            <w:tcBorders>
              <w:top w:val="nil"/>
              <w:left w:val="nil"/>
              <w:bottom w:val="nil"/>
              <w:right w:val="nil"/>
            </w:tcBorders>
            <w:vAlign w:val="center"/>
          </w:tcPr>
          <w:p w14:paraId="40140B8E" w14:textId="0A8524A6" w:rsidR="00EB3EDC" w:rsidRPr="00EB3EDC" w:rsidRDefault="00D113F5" w:rsidP="00EB3EDC">
            <w:pPr>
              <w:rPr>
                <w:rFonts w:cs="Times New Roman"/>
                <w:sz w:val="20"/>
                <w:szCs w:val="20"/>
              </w:rPr>
            </w:pPr>
            <w:r>
              <w:rPr>
                <w:rFonts w:cs="Times New Roman"/>
                <w:sz w:val="20"/>
                <w:szCs w:val="20"/>
              </w:rPr>
              <w:t>0.70</w:t>
            </w:r>
          </w:p>
        </w:tc>
      </w:tr>
      <w:tr w:rsidR="00EB3EDC" w14:paraId="2E984D83" w14:textId="77777777" w:rsidTr="002C2D8D">
        <w:trPr>
          <w:trHeight w:val="170"/>
        </w:trPr>
        <w:tc>
          <w:tcPr>
            <w:tcW w:w="3483" w:type="dxa"/>
            <w:tcBorders>
              <w:top w:val="nil"/>
              <w:left w:val="nil"/>
              <w:bottom w:val="nil"/>
              <w:right w:val="nil"/>
            </w:tcBorders>
            <w:vAlign w:val="center"/>
          </w:tcPr>
          <w:p w14:paraId="5881248D" w14:textId="36999E53" w:rsidR="00EB3EDC" w:rsidRPr="00EB3EDC" w:rsidRDefault="00EB3EDC" w:rsidP="00EB3EDC">
            <w:pPr>
              <w:rPr>
                <w:rFonts w:cs="Times New Roman"/>
                <w:sz w:val="20"/>
                <w:szCs w:val="20"/>
              </w:rPr>
            </w:pPr>
            <w:r w:rsidRPr="00EB3EDC">
              <w:rPr>
                <w:rFonts w:cs="Times New Roman"/>
                <w:sz w:val="20"/>
                <w:szCs w:val="20"/>
              </w:rPr>
              <w:t>Cooling Duty (</w:t>
            </w:r>
            <w:r w:rsidR="00D113F5">
              <w:rPr>
                <w:rFonts w:cs="Times New Roman"/>
                <w:sz w:val="20"/>
                <w:szCs w:val="20"/>
              </w:rPr>
              <w:t>MW</w:t>
            </w:r>
            <w:r w:rsidRPr="00EB3EDC">
              <w:rPr>
                <w:rFonts w:cs="Times New Roman"/>
                <w:sz w:val="20"/>
                <w:szCs w:val="20"/>
              </w:rPr>
              <w:t>)</w:t>
            </w:r>
          </w:p>
        </w:tc>
        <w:tc>
          <w:tcPr>
            <w:tcW w:w="1428" w:type="dxa"/>
            <w:tcBorders>
              <w:top w:val="nil"/>
              <w:left w:val="nil"/>
              <w:bottom w:val="nil"/>
              <w:right w:val="nil"/>
            </w:tcBorders>
            <w:vAlign w:val="center"/>
          </w:tcPr>
          <w:p w14:paraId="6D642B28" w14:textId="24CDDADC" w:rsidR="00EB3EDC" w:rsidRPr="00EB3EDC" w:rsidRDefault="00D113F5" w:rsidP="00EB3EDC">
            <w:pPr>
              <w:rPr>
                <w:rFonts w:cs="Times New Roman"/>
                <w:sz w:val="20"/>
                <w:szCs w:val="20"/>
              </w:rPr>
            </w:pPr>
            <w:r>
              <w:rPr>
                <w:rFonts w:cs="Times New Roman"/>
                <w:sz w:val="20"/>
                <w:szCs w:val="20"/>
              </w:rPr>
              <w:t>-4.04</w:t>
            </w:r>
          </w:p>
        </w:tc>
        <w:tc>
          <w:tcPr>
            <w:tcW w:w="1205" w:type="dxa"/>
            <w:tcBorders>
              <w:top w:val="nil"/>
              <w:left w:val="nil"/>
              <w:bottom w:val="nil"/>
              <w:right w:val="nil"/>
            </w:tcBorders>
            <w:vAlign w:val="center"/>
          </w:tcPr>
          <w:p w14:paraId="36D899FD" w14:textId="5BAABF3F" w:rsidR="00EB3EDC" w:rsidRPr="00EB3EDC" w:rsidRDefault="00D113F5" w:rsidP="00EB3EDC">
            <w:pPr>
              <w:rPr>
                <w:rFonts w:cs="Times New Roman"/>
                <w:sz w:val="20"/>
                <w:szCs w:val="20"/>
              </w:rPr>
            </w:pPr>
            <w:r>
              <w:rPr>
                <w:rFonts w:cs="Times New Roman"/>
                <w:sz w:val="20"/>
                <w:szCs w:val="20"/>
              </w:rPr>
              <w:t>-4.15</w:t>
            </w:r>
          </w:p>
        </w:tc>
      </w:tr>
      <w:tr w:rsidR="00EB3EDC" w14:paraId="0C2BD21A" w14:textId="77777777" w:rsidTr="002C2D8D">
        <w:trPr>
          <w:trHeight w:val="170"/>
        </w:trPr>
        <w:tc>
          <w:tcPr>
            <w:tcW w:w="3483" w:type="dxa"/>
            <w:tcBorders>
              <w:top w:val="nil"/>
              <w:left w:val="nil"/>
              <w:bottom w:val="nil"/>
              <w:right w:val="nil"/>
            </w:tcBorders>
            <w:vAlign w:val="center"/>
          </w:tcPr>
          <w:p w14:paraId="23E262D3" w14:textId="77777777" w:rsidR="00EB3EDC" w:rsidRPr="00EB3EDC" w:rsidRDefault="00EB3EDC" w:rsidP="00EB3EDC">
            <w:pPr>
              <w:rPr>
                <w:rFonts w:cs="Times New Roman"/>
                <w:sz w:val="20"/>
                <w:szCs w:val="20"/>
              </w:rPr>
            </w:pPr>
            <w:r w:rsidRPr="00EB3EDC">
              <w:rPr>
                <w:rFonts w:cs="Times New Roman"/>
                <w:sz w:val="20"/>
                <w:szCs w:val="20"/>
              </w:rPr>
              <w:t>Methanol Make-Up (t/h)</w:t>
            </w:r>
          </w:p>
        </w:tc>
        <w:tc>
          <w:tcPr>
            <w:tcW w:w="1428" w:type="dxa"/>
            <w:tcBorders>
              <w:top w:val="nil"/>
              <w:left w:val="nil"/>
              <w:bottom w:val="nil"/>
              <w:right w:val="nil"/>
            </w:tcBorders>
            <w:vAlign w:val="center"/>
          </w:tcPr>
          <w:p w14:paraId="3EF5F006" w14:textId="77777777" w:rsidR="00EB3EDC" w:rsidRPr="00EB3EDC" w:rsidRDefault="00EB3EDC" w:rsidP="00EB3EDC">
            <w:pPr>
              <w:rPr>
                <w:rFonts w:cs="Times New Roman"/>
                <w:sz w:val="20"/>
                <w:szCs w:val="20"/>
              </w:rPr>
            </w:pPr>
            <w:r w:rsidRPr="00EB3EDC">
              <w:rPr>
                <w:rFonts w:cs="Times New Roman"/>
                <w:sz w:val="20"/>
                <w:szCs w:val="20"/>
              </w:rPr>
              <w:t>0.32</w:t>
            </w:r>
          </w:p>
        </w:tc>
        <w:tc>
          <w:tcPr>
            <w:tcW w:w="1205" w:type="dxa"/>
            <w:tcBorders>
              <w:top w:val="nil"/>
              <w:left w:val="nil"/>
              <w:bottom w:val="nil"/>
              <w:right w:val="nil"/>
            </w:tcBorders>
            <w:vAlign w:val="center"/>
          </w:tcPr>
          <w:p w14:paraId="7C05F8EF" w14:textId="77777777" w:rsidR="00EB3EDC" w:rsidRPr="00EB3EDC" w:rsidRDefault="00EB3EDC" w:rsidP="00EB3EDC">
            <w:pPr>
              <w:rPr>
                <w:rFonts w:cs="Times New Roman"/>
                <w:sz w:val="20"/>
                <w:szCs w:val="20"/>
              </w:rPr>
            </w:pPr>
            <w:r w:rsidRPr="00EB3EDC">
              <w:rPr>
                <w:rFonts w:cs="Times New Roman"/>
                <w:sz w:val="20"/>
                <w:szCs w:val="20"/>
              </w:rPr>
              <w:t>0.18</w:t>
            </w:r>
          </w:p>
        </w:tc>
      </w:tr>
      <w:tr w:rsidR="00EB3EDC" w14:paraId="1E5A3FC8" w14:textId="77777777" w:rsidTr="002C2D8D">
        <w:trPr>
          <w:trHeight w:val="170"/>
        </w:trPr>
        <w:tc>
          <w:tcPr>
            <w:tcW w:w="3483" w:type="dxa"/>
            <w:tcBorders>
              <w:top w:val="nil"/>
              <w:left w:val="nil"/>
              <w:bottom w:val="nil"/>
              <w:right w:val="nil"/>
            </w:tcBorders>
            <w:vAlign w:val="center"/>
          </w:tcPr>
          <w:p w14:paraId="0827EADE" w14:textId="77777777" w:rsidR="00EB3EDC" w:rsidRPr="00EB3EDC" w:rsidRDefault="00EB3EDC" w:rsidP="00EB3EDC">
            <w:pPr>
              <w:rPr>
                <w:rFonts w:cs="Times New Roman"/>
                <w:sz w:val="20"/>
                <w:szCs w:val="20"/>
              </w:rPr>
            </w:pPr>
            <w:r w:rsidRPr="00EB3EDC">
              <w:rPr>
                <w:rFonts w:cs="Times New Roman"/>
                <w:sz w:val="20"/>
                <w:szCs w:val="20"/>
              </w:rPr>
              <w:t>Capital Cost (MMU$)</w:t>
            </w:r>
          </w:p>
        </w:tc>
        <w:tc>
          <w:tcPr>
            <w:tcW w:w="1428" w:type="dxa"/>
            <w:tcBorders>
              <w:top w:val="nil"/>
              <w:left w:val="nil"/>
              <w:bottom w:val="nil"/>
              <w:right w:val="nil"/>
            </w:tcBorders>
            <w:vAlign w:val="center"/>
          </w:tcPr>
          <w:p w14:paraId="7E69FBB2" w14:textId="3FF1D40D" w:rsidR="00EB3EDC" w:rsidRPr="00EB3EDC" w:rsidRDefault="00A94303" w:rsidP="00EB3EDC">
            <w:pPr>
              <w:rPr>
                <w:rFonts w:cs="Times New Roman"/>
                <w:sz w:val="20"/>
                <w:szCs w:val="20"/>
              </w:rPr>
            </w:pPr>
            <w:r>
              <w:rPr>
                <w:rFonts w:cs="Times New Roman"/>
                <w:sz w:val="20"/>
                <w:szCs w:val="20"/>
              </w:rPr>
              <w:t>0.56</w:t>
            </w:r>
          </w:p>
        </w:tc>
        <w:tc>
          <w:tcPr>
            <w:tcW w:w="1205" w:type="dxa"/>
            <w:tcBorders>
              <w:top w:val="nil"/>
              <w:left w:val="nil"/>
              <w:bottom w:val="nil"/>
              <w:right w:val="nil"/>
            </w:tcBorders>
            <w:vAlign w:val="center"/>
          </w:tcPr>
          <w:p w14:paraId="42E9CC95" w14:textId="2C370C92" w:rsidR="00EB3EDC" w:rsidRPr="00EB3EDC" w:rsidRDefault="00A94303" w:rsidP="00EB3EDC">
            <w:pPr>
              <w:rPr>
                <w:rFonts w:cs="Times New Roman"/>
                <w:sz w:val="20"/>
                <w:szCs w:val="20"/>
              </w:rPr>
            </w:pPr>
            <w:r>
              <w:rPr>
                <w:rFonts w:cs="Times New Roman"/>
                <w:sz w:val="20"/>
                <w:szCs w:val="20"/>
              </w:rPr>
              <w:t>0.53</w:t>
            </w:r>
          </w:p>
        </w:tc>
      </w:tr>
      <w:tr w:rsidR="00EB3EDC" w14:paraId="315B0FFC" w14:textId="77777777" w:rsidTr="002C2D8D">
        <w:trPr>
          <w:trHeight w:val="170"/>
        </w:trPr>
        <w:tc>
          <w:tcPr>
            <w:tcW w:w="3483" w:type="dxa"/>
            <w:tcBorders>
              <w:top w:val="nil"/>
              <w:left w:val="nil"/>
              <w:right w:val="nil"/>
            </w:tcBorders>
            <w:vAlign w:val="center"/>
          </w:tcPr>
          <w:p w14:paraId="074D925C" w14:textId="73B2BFA9" w:rsidR="00EB3EDC" w:rsidRPr="00EB3EDC" w:rsidRDefault="00EB3EDC" w:rsidP="00EB3EDC">
            <w:pPr>
              <w:rPr>
                <w:rFonts w:cs="Times New Roman"/>
                <w:sz w:val="20"/>
                <w:szCs w:val="20"/>
              </w:rPr>
            </w:pPr>
            <w:r w:rsidRPr="00EB3EDC">
              <w:rPr>
                <w:rFonts w:cs="Times New Roman"/>
                <w:sz w:val="20"/>
                <w:szCs w:val="20"/>
              </w:rPr>
              <w:t>Operational Cost (MMU$/</w:t>
            </w:r>
            <w:r w:rsidR="00325EDE">
              <w:rPr>
                <w:rFonts w:cs="Times New Roman"/>
                <w:sz w:val="20"/>
                <w:szCs w:val="20"/>
              </w:rPr>
              <w:t>Y</w:t>
            </w:r>
            <w:r w:rsidRPr="00EB3EDC">
              <w:rPr>
                <w:rFonts w:cs="Times New Roman"/>
                <w:sz w:val="20"/>
                <w:szCs w:val="20"/>
              </w:rPr>
              <w:t>)</w:t>
            </w:r>
          </w:p>
        </w:tc>
        <w:tc>
          <w:tcPr>
            <w:tcW w:w="1428" w:type="dxa"/>
            <w:tcBorders>
              <w:top w:val="nil"/>
              <w:left w:val="nil"/>
              <w:right w:val="nil"/>
            </w:tcBorders>
            <w:vAlign w:val="center"/>
          </w:tcPr>
          <w:p w14:paraId="45F47776" w14:textId="53139BF2" w:rsidR="00EB3EDC" w:rsidRPr="00EB3EDC" w:rsidRDefault="00A94303" w:rsidP="00EB3EDC">
            <w:pPr>
              <w:rPr>
                <w:rFonts w:cs="Times New Roman"/>
                <w:sz w:val="20"/>
                <w:szCs w:val="20"/>
              </w:rPr>
            </w:pPr>
            <w:r>
              <w:rPr>
                <w:rFonts w:cs="Times New Roman"/>
                <w:sz w:val="20"/>
                <w:szCs w:val="20"/>
              </w:rPr>
              <w:t>1.64</w:t>
            </w:r>
          </w:p>
        </w:tc>
        <w:tc>
          <w:tcPr>
            <w:tcW w:w="1205" w:type="dxa"/>
            <w:tcBorders>
              <w:top w:val="nil"/>
              <w:left w:val="nil"/>
              <w:right w:val="nil"/>
            </w:tcBorders>
            <w:vAlign w:val="center"/>
          </w:tcPr>
          <w:p w14:paraId="4E97D1DE" w14:textId="092BC6CA" w:rsidR="00EB3EDC" w:rsidRPr="00EB3EDC" w:rsidRDefault="00A94303" w:rsidP="00EB3EDC">
            <w:pPr>
              <w:rPr>
                <w:rFonts w:cs="Times New Roman"/>
                <w:sz w:val="20"/>
                <w:szCs w:val="20"/>
              </w:rPr>
            </w:pPr>
            <w:r>
              <w:rPr>
                <w:rFonts w:cs="Times New Roman"/>
                <w:sz w:val="20"/>
                <w:szCs w:val="20"/>
              </w:rPr>
              <w:t>1.01</w:t>
            </w:r>
          </w:p>
        </w:tc>
      </w:tr>
      <w:tr w:rsidR="00EB3EDC" w14:paraId="011A74E4" w14:textId="77777777" w:rsidTr="00EB3EDC">
        <w:trPr>
          <w:trHeight w:val="170"/>
        </w:trPr>
        <w:tc>
          <w:tcPr>
            <w:tcW w:w="3483" w:type="dxa"/>
            <w:tcBorders>
              <w:left w:val="nil"/>
              <w:right w:val="nil"/>
            </w:tcBorders>
            <w:vAlign w:val="center"/>
          </w:tcPr>
          <w:p w14:paraId="0D810453" w14:textId="029121C9" w:rsidR="00EB3EDC" w:rsidRPr="00EB3EDC" w:rsidRDefault="00EB3EDC" w:rsidP="00EB3EDC">
            <w:pPr>
              <w:rPr>
                <w:rFonts w:cs="Times New Roman"/>
                <w:sz w:val="20"/>
                <w:szCs w:val="20"/>
              </w:rPr>
            </w:pPr>
            <w:r w:rsidRPr="00EB3EDC">
              <w:rPr>
                <w:rFonts w:cs="Times New Roman"/>
                <w:b/>
                <w:bCs/>
                <w:sz w:val="20"/>
                <w:szCs w:val="20"/>
              </w:rPr>
              <w:t>Heat Duty (</w:t>
            </w:r>
            <w:r w:rsidR="00D113F5">
              <w:rPr>
                <w:rFonts w:cs="Times New Roman"/>
                <w:b/>
                <w:bCs/>
                <w:sz w:val="20"/>
                <w:szCs w:val="20"/>
              </w:rPr>
              <w:t>MW</w:t>
            </w:r>
            <w:r w:rsidRPr="00EB3EDC">
              <w:rPr>
                <w:rFonts w:cs="Times New Roman"/>
                <w:b/>
                <w:bCs/>
                <w:sz w:val="20"/>
                <w:szCs w:val="20"/>
              </w:rPr>
              <w:t>)</w:t>
            </w:r>
          </w:p>
        </w:tc>
        <w:tc>
          <w:tcPr>
            <w:tcW w:w="1428" w:type="dxa"/>
            <w:tcBorders>
              <w:left w:val="nil"/>
              <w:right w:val="nil"/>
            </w:tcBorders>
            <w:vAlign w:val="center"/>
          </w:tcPr>
          <w:p w14:paraId="298FAC76" w14:textId="11A72E82" w:rsidR="00EB3EDC" w:rsidRPr="00EB3EDC" w:rsidRDefault="00222A68" w:rsidP="00EB3EDC">
            <w:pPr>
              <w:rPr>
                <w:rFonts w:cs="Times New Roman"/>
                <w:sz w:val="20"/>
                <w:szCs w:val="20"/>
              </w:rPr>
            </w:pPr>
            <w:r>
              <w:rPr>
                <w:rFonts w:cs="Times New Roman"/>
                <w:sz w:val="20"/>
                <w:szCs w:val="20"/>
              </w:rPr>
              <w:t>16.34</w:t>
            </w:r>
          </w:p>
        </w:tc>
        <w:tc>
          <w:tcPr>
            <w:tcW w:w="1205" w:type="dxa"/>
            <w:tcBorders>
              <w:left w:val="nil"/>
              <w:right w:val="nil"/>
            </w:tcBorders>
            <w:vAlign w:val="center"/>
          </w:tcPr>
          <w:p w14:paraId="07D7E936" w14:textId="648D9C0A" w:rsidR="00EB3EDC" w:rsidRPr="00EB3EDC" w:rsidRDefault="00222A68" w:rsidP="00EB3EDC">
            <w:pPr>
              <w:rPr>
                <w:rFonts w:cs="Times New Roman"/>
                <w:sz w:val="20"/>
                <w:szCs w:val="20"/>
              </w:rPr>
            </w:pPr>
            <w:r>
              <w:rPr>
                <w:rFonts w:cs="Times New Roman"/>
                <w:sz w:val="20"/>
                <w:szCs w:val="20"/>
              </w:rPr>
              <w:t>14.26</w:t>
            </w:r>
          </w:p>
        </w:tc>
      </w:tr>
      <w:tr w:rsidR="00EB3EDC" w14:paraId="22F6DDDD" w14:textId="77777777" w:rsidTr="00EB3EDC">
        <w:trPr>
          <w:trHeight w:val="170"/>
        </w:trPr>
        <w:tc>
          <w:tcPr>
            <w:tcW w:w="3483" w:type="dxa"/>
            <w:tcBorders>
              <w:left w:val="nil"/>
              <w:right w:val="nil"/>
            </w:tcBorders>
            <w:vAlign w:val="center"/>
          </w:tcPr>
          <w:p w14:paraId="6F03121C" w14:textId="7EEBF858" w:rsidR="00EB3EDC" w:rsidRPr="00EB3EDC" w:rsidRDefault="00EB3EDC" w:rsidP="00EB3EDC">
            <w:pPr>
              <w:rPr>
                <w:rFonts w:cs="Times New Roman"/>
                <w:sz w:val="20"/>
                <w:szCs w:val="20"/>
              </w:rPr>
            </w:pPr>
            <w:r w:rsidRPr="00EB3EDC">
              <w:rPr>
                <w:rFonts w:cs="Times New Roman"/>
                <w:b/>
                <w:bCs/>
                <w:sz w:val="20"/>
                <w:szCs w:val="20"/>
              </w:rPr>
              <w:t>Cooling Duty (</w:t>
            </w:r>
            <w:r w:rsidR="00222A68">
              <w:rPr>
                <w:rFonts w:cs="Times New Roman"/>
                <w:b/>
                <w:bCs/>
                <w:sz w:val="20"/>
                <w:szCs w:val="20"/>
              </w:rPr>
              <w:t>MW</w:t>
            </w:r>
            <w:r w:rsidRPr="00EB3EDC">
              <w:rPr>
                <w:rFonts w:cs="Times New Roman"/>
                <w:b/>
                <w:bCs/>
                <w:sz w:val="20"/>
                <w:szCs w:val="20"/>
              </w:rPr>
              <w:t>)</w:t>
            </w:r>
          </w:p>
        </w:tc>
        <w:tc>
          <w:tcPr>
            <w:tcW w:w="1428" w:type="dxa"/>
            <w:tcBorders>
              <w:left w:val="nil"/>
              <w:right w:val="nil"/>
            </w:tcBorders>
            <w:vAlign w:val="center"/>
          </w:tcPr>
          <w:p w14:paraId="63DAC0B8" w14:textId="4FDC18DC" w:rsidR="00EB3EDC" w:rsidRPr="00EB3EDC" w:rsidRDefault="00222A68" w:rsidP="00EB3EDC">
            <w:pPr>
              <w:rPr>
                <w:rFonts w:cs="Times New Roman"/>
                <w:sz w:val="20"/>
                <w:szCs w:val="20"/>
              </w:rPr>
            </w:pPr>
            <w:r>
              <w:rPr>
                <w:rFonts w:cs="Times New Roman"/>
                <w:sz w:val="20"/>
                <w:szCs w:val="20"/>
              </w:rPr>
              <w:t>-14.59</w:t>
            </w:r>
          </w:p>
        </w:tc>
        <w:tc>
          <w:tcPr>
            <w:tcW w:w="1205" w:type="dxa"/>
            <w:tcBorders>
              <w:left w:val="nil"/>
              <w:right w:val="nil"/>
            </w:tcBorders>
            <w:vAlign w:val="center"/>
          </w:tcPr>
          <w:p w14:paraId="5A2044A9" w14:textId="00F43D3A" w:rsidR="00EB3EDC" w:rsidRPr="00EB3EDC" w:rsidRDefault="00EF3617" w:rsidP="00EB3EDC">
            <w:pPr>
              <w:rPr>
                <w:rFonts w:cs="Times New Roman"/>
                <w:sz w:val="20"/>
                <w:szCs w:val="20"/>
              </w:rPr>
            </w:pPr>
            <w:r>
              <w:rPr>
                <w:rFonts w:cs="Times New Roman"/>
                <w:sz w:val="20"/>
                <w:szCs w:val="20"/>
              </w:rPr>
              <w:t>-12.72</w:t>
            </w:r>
          </w:p>
        </w:tc>
      </w:tr>
      <w:tr w:rsidR="00EB3EDC" w14:paraId="3BBB7914" w14:textId="77777777" w:rsidTr="00EB3EDC">
        <w:trPr>
          <w:trHeight w:val="170"/>
        </w:trPr>
        <w:tc>
          <w:tcPr>
            <w:tcW w:w="3483" w:type="dxa"/>
            <w:tcBorders>
              <w:left w:val="nil"/>
              <w:right w:val="nil"/>
            </w:tcBorders>
            <w:vAlign w:val="center"/>
          </w:tcPr>
          <w:p w14:paraId="73AA3249" w14:textId="0F5D4F2E" w:rsidR="00EB3EDC" w:rsidRPr="00EB3EDC" w:rsidRDefault="00EB3EDC" w:rsidP="00EB3EDC">
            <w:pPr>
              <w:rPr>
                <w:rFonts w:cs="Times New Roman"/>
                <w:b/>
                <w:bCs/>
                <w:sz w:val="20"/>
                <w:szCs w:val="20"/>
              </w:rPr>
            </w:pPr>
            <w:r w:rsidRPr="00EB3EDC">
              <w:rPr>
                <w:rFonts w:cs="Times New Roman"/>
                <w:b/>
                <w:bCs/>
                <w:sz w:val="20"/>
                <w:szCs w:val="20"/>
              </w:rPr>
              <w:t>Electricity (</w:t>
            </w:r>
            <w:r w:rsidR="00EF3617">
              <w:rPr>
                <w:rFonts w:cs="Times New Roman"/>
                <w:b/>
                <w:bCs/>
                <w:sz w:val="20"/>
                <w:szCs w:val="20"/>
              </w:rPr>
              <w:t>MW</w:t>
            </w:r>
            <w:r w:rsidRPr="00EB3EDC">
              <w:rPr>
                <w:rFonts w:cs="Times New Roman"/>
                <w:b/>
                <w:bCs/>
                <w:sz w:val="20"/>
                <w:szCs w:val="20"/>
              </w:rPr>
              <w:t>)</w:t>
            </w:r>
          </w:p>
        </w:tc>
        <w:tc>
          <w:tcPr>
            <w:tcW w:w="1428" w:type="dxa"/>
            <w:tcBorders>
              <w:left w:val="nil"/>
              <w:right w:val="nil"/>
            </w:tcBorders>
            <w:vAlign w:val="center"/>
          </w:tcPr>
          <w:p w14:paraId="635813E7" w14:textId="34C44571" w:rsidR="00EB3EDC" w:rsidRPr="00EB3EDC" w:rsidRDefault="00EF3617" w:rsidP="00EB3EDC">
            <w:pPr>
              <w:rPr>
                <w:rFonts w:cs="Times New Roman"/>
                <w:sz w:val="20"/>
                <w:szCs w:val="20"/>
              </w:rPr>
            </w:pPr>
            <w:r>
              <w:rPr>
                <w:rFonts w:cs="Times New Roman"/>
                <w:sz w:val="20"/>
                <w:szCs w:val="20"/>
              </w:rPr>
              <w:t>6.07</w:t>
            </w:r>
          </w:p>
        </w:tc>
        <w:tc>
          <w:tcPr>
            <w:tcW w:w="1205" w:type="dxa"/>
            <w:tcBorders>
              <w:left w:val="nil"/>
              <w:right w:val="nil"/>
            </w:tcBorders>
            <w:vAlign w:val="center"/>
          </w:tcPr>
          <w:p w14:paraId="450068A6" w14:textId="6951837B" w:rsidR="00EB3EDC" w:rsidRPr="00EB3EDC" w:rsidRDefault="00EF3617" w:rsidP="00EB3EDC">
            <w:pPr>
              <w:rPr>
                <w:rFonts w:cs="Times New Roman"/>
                <w:sz w:val="20"/>
                <w:szCs w:val="20"/>
              </w:rPr>
            </w:pPr>
            <w:r>
              <w:rPr>
                <w:rFonts w:cs="Times New Roman"/>
                <w:sz w:val="20"/>
                <w:szCs w:val="20"/>
              </w:rPr>
              <w:t>6.34</w:t>
            </w:r>
          </w:p>
        </w:tc>
      </w:tr>
      <w:tr w:rsidR="00EB3EDC" w14:paraId="02E0A643" w14:textId="77777777" w:rsidTr="00EB3EDC">
        <w:trPr>
          <w:trHeight w:val="170"/>
        </w:trPr>
        <w:tc>
          <w:tcPr>
            <w:tcW w:w="3483" w:type="dxa"/>
            <w:tcBorders>
              <w:left w:val="nil"/>
              <w:right w:val="nil"/>
            </w:tcBorders>
            <w:vAlign w:val="center"/>
          </w:tcPr>
          <w:p w14:paraId="2220C6C4" w14:textId="76ABC989" w:rsidR="00EB3EDC" w:rsidRPr="00EB3EDC" w:rsidRDefault="00EB3EDC" w:rsidP="00EB3EDC">
            <w:pPr>
              <w:rPr>
                <w:rFonts w:cs="Times New Roman"/>
                <w:b/>
                <w:bCs/>
                <w:sz w:val="20"/>
                <w:szCs w:val="20"/>
              </w:rPr>
            </w:pPr>
            <w:r w:rsidRPr="00EB3EDC">
              <w:rPr>
                <w:rFonts w:cs="Times New Roman"/>
                <w:b/>
                <w:bCs/>
                <w:sz w:val="20"/>
                <w:szCs w:val="20"/>
              </w:rPr>
              <w:t>Operational Cost (MMU$/</w:t>
            </w:r>
            <w:r w:rsidR="00325EDE">
              <w:rPr>
                <w:rFonts w:cs="Times New Roman"/>
                <w:b/>
                <w:bCs/>
                <w:sz w:val="20"/>
                <w:szCs w:val="20"/>
              </w:rPr>
              <w:t>Y</w:t>
            </w:r>
            <w:r w:rsidRPr="00EB3EDC">
              <w:rPr>
                <w:rFonts w:cs="Times New Roman"/>
                <w:b/>
                <w:bCs/>
                <w:sz w:val="20"/>
                <w:szCs w:val="20"/>
              </w:rPr>
              <w:t>)</w:t>
            </w:r>
          </w:p>
        </w:tc>
        <w:tc>
          <w:tcPr>
            <w:tcW w:w="1428" w:type="dxa"/>
            <w:tcBorders>
              <w:left w:val="nil"/>
              <w:right w:val="nil"/>
            </w:tcBorders>
            <w:vAlign w:val="center"/>
          </w:tcPr>
          <w:p w14:paraId="5E760027" w14:textId="77777777" w:rsidR="00EB3EDC" w:rsidRPr="00EB3EDC" w:rsidRDefault="00EB3EDC" w:rsidP="00EB3EDC">
            <w:pPr>
              <w:rPr>
                <w:rFonts w:cs="Times New Roman"/>
                <w:sz w:val="20"/>
                <w:szCs w:val="20"/>
              </w:rPr>
            </w:pPr>
            <w:r w:rsidRPr="00EB3EDC">
              <w:rPr>
                <w:rFonts w:cs="Times New Roman"/>
                <w:sz w:val="20"/>
                <w:szCs w:val="20"/>
              </w:rPr>
              <w:t>8.42</w:t>
            </w:r>
          </w:p>
        </w:tc>
        <w:tc>
          <w:tcPr>
            <w:tcW w:w="1205" w:type="dxa"/>
            <w:tcBorders>
              <w:left w:val="nil"/>
              <w:right w:val="nil"/>
            </w:tcBorders>
            <w:vAlign w:val="center"/>
          </w:tcPr>
          <w:p w14:paraId="6FF0C5C9" w14:textId="77777777" w:rsidR="00EB3EDC" w:rsidRPr="00EB3EDC" w:rsidRDefault="00EB3EDC" w:rsidP="00EB3EDC">
            <w:pPr>
              <w:rPr>
                <w:rFonts w:cs="Times New Roman"/>
                <w:sz w:val="20"/>
                <w:szCs w:val="20"/>
              </w:rPr>
            </w:pPr>
            <w:r w:rsidRPr="00EB3EDC">
              <w:rPr>
                <w:rFonts w:cs="Times New Roman"/>
                <w:sz w:val="20"/>
                <w:szCs w:val="20"/>
              </w:rPr>
              <w:t>7.62</w:t>
            </w:r>
          </w:p>
        </w:tc>
      </w:tr>
      <w:tr w:rsidR="00EB3EDC" w14:paraId="74C930BA" w14:textId="77777777" w:rsidTr="00EB3EDC">
        <w:trPr>
          <w:trHeight w:val="170"/>
        </w:trPr>
        <w:tc>
          <w:tcPr>
            <w:tcW w:w="3483" w:type="dxa"/>
            <w:tcBorders>
              <w:left w:val="nil"/>
              <w:right w:val="nil"/>
            </w:tcBorders>
            <w:vAlign w:val="center"/>
          </w:tcPr>
          <w:p w14:paraId="7F56FDBA" w14:textId="77777777" w:rsidR="00EB3EDC" w:rsidRPr="00EB3EDC" w:rsidRDefault="00EB3EDC" w:rsidP="00EB3EDC">
            <w:pPr>
              <w:rPr>
                <w:rFonts w:cs="Times New Roman"/>
                <w:b/>
                <w:bCs/>
                <w:sz w:val="20"/>
                <w:szCs w:val="20"/>
              </w:rPr>
            </w:pPr>
            <w:r w:rsidRPr="00EB3EDC">
              <w:rPr>
                <w:rFonts w:cs="Times New Roman"/>
                <w:b/>
                <w:bCs/>
                <w:sz w:val="20"/>
                <w:szCs w:val="20"/>
              </w:rPr>
              <w:t>Capital Cost (MMU$)</w:t>
            </w:r>
          </w:p>
        </w:tc>
        <w:tc>
          <w:tcPr>
            <w:tcW w:w="1428" w:type="dxa"/>
            <w:tcBorders>
              <w:left w:val="nil"/>
              <w:right w:val="nil"/>
            </w:tcBorders>
            <w:vAlign w:val="center"/>
          </w:tcPr>
          <w:p w14:paraId="4750BAEA" w14:textId="77777777" w:rsidR="00EB3EDC" w:rsidRPr="00EB3EDC" w:rsidRDefault="00EB3EDC" w:rsidP="00EB3EDC">
            <w:pPr>
              <w:rPr>
                <w:rFonts w:cs="Times New Roman"/>
                <w:sz w:val="20"/>
                <w:szCs w:val="20"/>
              </w:rPr>
            </w:pPr>
            <w:r w:rsidRPr="00EB3EDC">
              <w:rPr>
                <w:rFonts w:cs="Times New Roman"/>
                <w:sz w:val="20"/>
                <w:szCs w:val="20"/>
              </w:rPr>
              <w:t>12.62</w:t>
            </w:r>
          </w:p>
        </w:tc>
        <w:tc>
          <w:tcPr>
            <w:tcW w:w="1205" w:type="dxa"/>
            <w:tcBorders>
              <w:left w:val="nil"/>
              <w:right w:val="nil"/>
            </w:tcBorders>
            <w:vAlign w:val="center"/>
          </w:tcPr>
          <w:p w14:paraId="7F1F749A" w14:textId="77777777" w:rsidR="00EB3EDC" w:rsidRPr="00EB3EDC" w:rsidRDefault="00EB3EDC" w:rsidP="00EB3EDC">
            <w:pPr>
              <w:rPr>
                <w:rFonts w:cs="Times New Roman"/>
                <w:sz w:val="20"/>
                <w:szCs w:val="20"/>
              </w:rPr>
            </w:pPr>
            <w:r w:rsidRPr="00EB3EDC">
              <w:rPr>
                <w:rFonts w:cs="Times New Roman"/>
                <w:sz w:val="20"/>
                <w:szCs w:val="20"/>
              </w:rPr>
              <w:t>13.04</w:t>
            </w:r>
          </w:p>
        </w:tc>
      </w:tr>
      <w:tr w:rsidR="00EB3EDC" w14:paraId="74059014" w14:textId="77777777" w:rsidTr="00EB3EDC">
        <w:trPr>
          <w:trHeight w:val="170"/>
        </w:trPr>
        <w:tc>
          <w:tcPr>
            <w:tcW w:w="3483" w:type="dxa"/>
            <w:tcBorders>
              <w:left w:val="nil"/>
              <w:right w:val="nil"/>
            </w:tcBorders>
            <w:vAlign w:val="center"/>
          </w:tcPr>
          <w:p w14:paraId="655F4847" w14:textId="68CC9179" w:rsidR="00EB3EDC" w:rsidRPr="00EB3EDC" w:rsidRDefault="00EB3EDC" w:rsidP="00EB3EDC">
            <w:pPr>
              <w:rPr>
                <w:rFonts w:cs="Times New Roman"/>
                <w:b/>
                <w:bCs/>
                <w:sz w:val="20"/>
                <w:szCs w:val="20"/>
              </w:rPr>
            </w:pPr>
            <w:r w:rsidRPr="00EB3EDC">
              <w:rPr>
                <w:rFonts w:cs="Times New Roman"/>
                <w:b/>
                <w:bCs/>
                <w:sz w:val="20"/>
                <w:szCs w:val="20"/>
              </w:rPr>
              <w:t>Total Annual Cost (MMU$/</w:t>
            </w:r>
            <w:r w:rsidR="00325EDE">
              <w:rPr>
                <w:rFonts w:cs="Times New Roman"/>
                <w:b/>
                <w:bCs/>
                <w:sz w:val="20"/>
                <w:szCs w:val="20"/>
              </w:rPr>
              <w:t>Y</w:t>
            </w:r>
            <w:r w:rsidRPr="00EB3EDC">
              <w:rPr>
                <w:rFonts w:cs="Times New Roman"/>
                <w:b/>
                <w:bCs/>
                <w:sz w:val="20"/>
                <w:szCs w:val="20"/>
              </w:rPr>
              <w:t>)</w:t>
            </w:r>
          </w:p>
        </w:tc>
        <w:tc>
          <w:tcPr>
            <w:tcW w:w="1428" w:type="dxa"/>
            <w:tcBorders>
              <w:left w:val="nil"/>
              <w:right w:val="nil"/>
            </w:tcBorders>
            <w:vAlign w:val="center"/>
          </w:tcPr>
          <w:p w14:paraId="1364BD9D" w14:textId="77777777" w:rsidR="00EB3EDC" w:rsidRPr="00EB3EDC" w:rsidRDefault="00EB3EDC" w:rsidP="00EB3EDC">
            <w:pPr>
              <w:rPr>
                <w:rFonts w:cs="Times New Roman"/>
                <w:sz w:val="20"/>
                <w:szCs w:val="20"/>
              </w:rPr>
            </w:pPr>
            <w:r w:rsidRPr="00EB3EDC">
              <w:rPr>
                <w:rFonts w:cs="Times New Roman"/>
                <w:sz w:val="20"/>
                <w:szCs w:val="20"/>
              </w:rPr>
              <w:t>10.94</w:t>
            </w:r>
          </w:p>
        </w:tc>
        <w:tc>
          <w:tcPr>
            <w:tcW w:w="1205" w:type="dxa"/>
            <w:tcBorders>
              <w:left w:val="nil"/>
              <w:right w:val="nil"/>
            </w:tcBorders>
            <w:vAlign w:val="center"/>
          </w:tcPr>
          <w:p w14:paraId="1ACAE024" w14:textId="77777777" w:rsidR="00EB3EDC" w:rsidRPr="00EB3EDC" w:rsidRDefault="00EB3EDC" w:rsidP="00EB3EDC">
            <w:pPr>
              <w:rPr>
                <w:rFonts w:cs="Times New Roman"/>
                <w:sz w:val="20"/>
                <w:szCs w:val="20"/>
              </w:rPr>
            </w:pPr>
            <w:r w:rsidRPr="00EB3EDC">
              <w:rPr>
                <w:rFonts w:cs="Times New Roman"/>
                <w:sz w:val="20"/>
                <w:szCs w:val="20"/>
              </w:rPr>
              <w:t>10.27</w:t>
            </w:r>
          </w:p>
        </w:tc>
      </w:tr>
      <w:tr w:rsidR="00EB3EDC" w14:paraId="565506A4" w14:textId="77777777" w:rsidTr="00EB3EDC">
        <w:trPr>
          <w:trHeight w:val="170"/>
        </w:trPr>
        <w:tc>
          <w:tcPr>
            <w:tcW w:w="3483" w:type="dxa"/>
            <w:tcBorders>
              <w:left w:val="nil"/>
              <w:right w:val="nil"/>
            </w:tcBorders>
            <w:vAlign w:val="center"/>
          </w:tcPr>
          <w:p w14:paraId="147548A7" w14:textId="11785C52" w:rsidR="00EB3EDC" w:rsidRPr="002C2D8D" w:rsidRDefault="00EB3EDC" w:rsidP="00EB3EDC">
            <w:pPr>
              <w:rPr>
                <w:rFonts w:cs="Times New Roman"/>
                <w:b/>
                <w:bCs/>
                <w:sz w:val="20"/>
                <w:szCs w:val="20"/>
              </w:rPr>
            </w:pPr>
            <w:r w:rsidRPr="002C2D8D">
              <w:rPr>
                <w:rFonts w:cs="Times New Roman"/>
                <w:b/>
                <w:bCs/>
                <w:sz w:val="20"/>
                <w:szCs w:val="20"/>
              </w:rPr>
              <w:t>Total Carbon Emissions (kt/</w:t>
            </w:r>
            <w:r w:rsidR="00325EDE">
              <w:rPr>
                <w:rFonts w:cs="Times New Roman"/>
                <w:b/>
                <w:bCs/>
                <w:sz w:val="20"/>
                <w:szCs w:val="20"/>
              </w:rPr>
              <w:t>Y</w:t>
            </w:r>
            <w:r w:rsidRPr="002C2D8D">
              <w:rPr>
                <w:rFonts w:cs="Times New Roman"/>
                <w:b/>
                <w:bCs/>
                <w:sz w:val="20"/>
                <w:szCs w:val="20"/>
              </w:rPr>
              <w:t>)</w:t>
            </w:r>
          </w:p>
        </w:tc>
        <w:tc>
          <w:tcPr>
            <w:tcW w:w="1428" w:type="dxa"/>
            <w:tcBorders>
              <w:left w:val="nil"/>
              <w:right w:val="nil"/>
            </w:tcBorders>
            <w:vAlign w:val="center"/>
          </w:tcPr>
          <w:p w14:paraId="7270EC08" w14:textId="77777777" w:rsidR="00EB3EDC" w:rsidRPr="00EB3EDC" w:rsidRDefault="00EB3EDC" w:rsidP="00EB3EDC">
            <w:pPr>
              <w:rPr>
                <w:rFonts w:cs="Times New Roman"/>
                <w:sz w:val="20"/>
                <w:szCs w:val="20"/>
              </w:rPr>
            </w:pPr>
            <w:r w:rsidRPr="00EB3EDC">
              <w:rPr>
                <w:rFonts w:cs="Times New Roman"/>
                <w:sz w:val="20"/>
                <w:szCs w:val="20"/>
              </w:rPr>
              <w:t>47.78</w:t>
            </w:r>
          </w:p>
        </w:tc>
        <w:tc>
          <w:tcPr>
            <w:tcW w:w="1205" w:type="dxa"/>
            <w:tcBorders>
              <w:left w:val="nil"/>
              <w:right w:val="nil"/>
            </w:tcBorders>
            <w:vAlign w:val="center"/>
          </w:tcPr>
          <w:p w14:paraId="711BE60A" w14:textId="77777777" w:rsidR="00EB3EDC" w:rsidRPr="00EB3EDC" w:rsidRDefault="00EB3EDC" w:rsidP="00EB3EDC">
            <w:pPr>
              <w:rPr>
                <w:rFonts w:cs="Times New Roman"/>
                <w:sz w:val="20"/>
                <w:szCs w:val="20"/>
              </w:rPr>
            </w:pPr>
            <w:r w:rsidRPr="00EB3EDC">
              <w:rPr>
                <w:rFonts w:cs="Times New Roman"/>
                <w:sz w:val="20"/>
                <w:szCs w:val="20"/>
              </w:rPr>
              <w:t>44.61</w:t>
            </w:r>
          </w:p>
        </w:tc>
      </w:tr>
    </w:tbl>
    <w:p w14:paraId="5E1BED46" w14:textId="77777777" w:rsidR="007758DE" w:rsidRDefault="007758DE" w:rsidP="007758DE">
      <w:pPr>
        <w:pStyle w:val="Els-body-text"/>
        <w:spacing w:before="120"/>
      </w:pPr>
      <w:r w:rsidRPr="00790A21">
        <w:t xml:space="preserve">A parameter that can define the choice for one or another configuration is the payback. In the calculations of the economic analysis, a period of 5 years was considered for the </w:t>
      </w:r>
      <w:r>
        <w:t>payback</w:t>
      </w:r>
      <w:r w:rsidRPr="00790A21">
        <w:t>; however, if this time is extended to 10 years, the TAC of the intensified configuration will be even more attractive (8.92 MMU$/year) than that of the conventional configuration (9.68 MMU$/year). Therefore, higher paybacks favor the implementation of the intensified configuration.</w:t>
      </w:r>
    </w:p>
    <w:p w14:paraId="476A1B18" w14:textId="101A48F6" w:rsidR="007758DE" w:rsidRDefault="007758DE" w:rsidP="007758DE">
      <w:pPr>
        <w:pStyle w:val="Els-body-text"/>
      </w:pPr>
      <w:r w:rsidRPr="00790A21">
        <w:t>When the environmental results</w:t>
      </w:r>
      <w:r>
        <w:t xml:space="preserve"> are observed</w:t>
      </w:r>
      <w:r w:rsidRPr="00790A21">
        <w:t xml:space="preserve">, it is possible to </w:t>
      </w:r>
      <w:r>
        <w:t>conclude</w:t>
      </w:r>
      <w:r w:rsidRPr="00790A21">
        <w:t xml:space="preserve"> that, even requiring more high-pressure steam, the intensified configuration reduces CO</w:t>
      </w:r>
      <w:r w:rsidRPr="00790A21">
        <w:rPr>
          <w:vertAlign w:val="subscript"/>
        </w:rPr>
        <w:t>2</w:t>
      </w:r>
      <w:r w:rsidRPr="00790A21">
        <w:t xml:space="preserve"> emissions by 6.63</w:t>
      </w:r>
      <w:r>
        <w:t xml:space="preserve"> </w:t>
      </w:r>
      <w:r w:rsidRPr="00790A21">
        <w:t xml:space="preserve">% when compared to the conventional configuration. This result is mainly a function of the lower </w:t>
      </w:r>
      <w:r>
        <w:t>low-pressure steam</w:t>
      </w:r>
      <w:r w:rsidRPr="00790A21">
        <w:t xml:space="preserve"> consumption in the hydrolysis reboiler </w:t>
      </w:r>
      <w:r>
        <w:t>of</w:t>
      </w:r>
      <w:r w:rsidRPr="00790A21">
        <w:t xml:space="preserve"> the intensified configuration. </w:t>
      </w:r>
      <w:r>
        <w:fldChar w:fldCharType="begin"/>
      </w:r>
      <w:r>
        <w:instrText xml:space="preserve"> REF _Ref150967279 \h </w:instrText>
      </w:r>
      <w:r>
        <w:fldChar w:fldCharType="separate"/>
      </w:r>
      <w:r>
        <w:t xml:space="preserve">Figure </w:t>
      </w:r>
      <w:r>
        <w:rPr>
          <w:noProof/>
        </w:rPr>
        <w:t>3</w:t>
      </w:r>
      <w:r>
        <w:fldChar w:fldCharType="end"/>
      </w:r>
      <w:r>
        <w:t xml:space="preserve"> </w:t>
      </w:r>
      <w:r w:rsidRPr="00790A21">
        <w:t xml:space="preserve">and </w:t>
      </w:r>
      <w:r>
        <w:fldChar w:fldCharType="begin"/>
      </w:r>
      <w:r>
        <w:instrText xml:space="preserve"> REF _Ref150967286 \h </w:instrText>
      </w:r>
      <w:r>
        <w:fldChar w:fldCharType="separate"/>
      </w:r>
      <w:r>
        <w:t xml:space="preserve">Figure </w:t>
      </w:r>
      <w:r>
        <w:rPr>
          <w:noProof/>
        </w:rPr>
        <w:t>4</w:t>
      </w:r>
      <w:r>
        <w:fldChar w:fldCharType="end"/>
      </w:r>
      <w:r w:rsidRPr="00790A21">
        <w:t xml:space="preserve"> show the optimal flowcharts obtained.</w:t>
      </w:r>
    </w:p>
    <w:p w14:paraId="590AABFF" w14:textId="42440B16" w:rsidR="002C2D8D" w:rsidRDefault="002C2D8D" w:rsidP="002C2D8D">
      <w:pPr>
        <w:pStyle w:val="Els-1storder-head"/>
      </w:pPr>
      <w:r>
        <w:t>Conclusions</w:t>
      </w:r>
    </w:p>
    <w:p w14:paraId="4E02743F" w14:textId="0180E88A" w:rsidR="002C2D8D" w:rsidRPr="00595970" w:rsidRDefault="002C2D8D" w:rsidP="00595970">
      <w:pPr>
        <w:pStyle w:val="Els-body-text"/>
        <w:spacing w:after="120"/>
        <w:rPr>
          <w:szCs w:val="22"/>
        </w:rPr>
      </w:pPr>
      <w:r w:rsidRPr="00333B32">
        <w:rPr>
          <w:szCs w:val="22"/>
        </w:rPr>
        <w:t xml:space="preserve">This work evaluated two process configurations for the recovery of lactic acid present in vinasse. The </w:t>
      </w:r>
      <w:r w:rsidRPr="00333B32">
        <w:t>process</w:t>
      </w:r>
      <w:r w:rsidRPr="00333B32">
        <w:rPr>
          <w:szCs w:val="22"/>
        </w:rPr>
        <w:t xml:space="preserve"> </w:t>
      </w:r>
      <w:r>
        <w:rPr>
          <w:szCs w:val="22"/>
        </w:rPr>
        <w:t>flowsheets</w:t>
      </w:r>
      <w:r w:rsidRPr="00333B32">
        <w:rPr>
          <w:szCs w:val="22"/>
        </w:rPr>
        <w:t xml:space="preserve"> were simulated and optimized in the Aspen Plus. With the optimized results, it was possible to observe that the use of a reactive </w:t>
      </w:r>
      <w:r>
        <w:rPr>
          <w:szCs w:val="22"/>
        </w:rPr>
        <w:t>divided</w:t>
      </w:r>
      <w:r w:rsidRPr="00333B32">
        <w:rPr>
          <w:szCs w:val="22"/>
        </w:rPr>
        <w:t>-wall column (RDWC) showed improvements in the main operational indicators, specific consumption and operational cost, and environmental indicators (CO</w:t>
      </w:r>
      <w:r w:rsidRPr="00333B32">
        <w:rPr>
          <w:szCs w:val="22"/>
          <w:vertAlign w:val="subscript"/>
        </w:rPr>
        <w:t>2</w:t>
      </w:r>
      <w:r w:rsidRPr="00333B32">
        <w:rPr>
          <w:szCs w:val="22"/>
        </w:rPr>
        <w:t xml:space="preserve"> emissions). The intensification </w:t>
      </w:r>
      <w:r>
        <w:rPr>
          <w:szCs w:val="22"/>
        </w:rPr>
        <w:t>configuration</w:t>
      </w:r>
      <w:r w:rsidRPr="00333B32">
        <w:rPr>
          <w:szCs w:val="22"/>
        </w:rPr>
        <w:t xml:space="preserve"> with RDWC presented a reduction in the TAC of the process, but its capital cost is higher than the conventional configuration. However, in </w:t>
      </w:r>
      <w:r w:rsidRPr="00333B32">
        <w:rPr>
          <w:szCs w:val="22"/>
        </w:rPr>
        <w:lastRenderedPageBreak/>
        <w:t>higher payback periods, the advantage of RDWC over the conventional configuration becomes even more significant. Finally, proposals for process intensification are very attractive</w:t>
      </w:r>
      <w:r>
        <w:rPr>
          <w:szCs w:val="22"/>
        </w:rPr>
        <w:t xml:space="preserve">, primarily in a scenario of </w:t>
      </w:r>
      <w:r w:rsidRPr="00333B32">
        <w:rPr>
          <w:szCs w:val="22"/>
        </w:rPr>
        <w:t>search for more sustainable processes.</w:t>
      </w:r>
    </w:p>
    <w:p w14:paraId="34D3D905" w14:textId="77777777" w:rsidR="00790A21" w:rsidRDefault="00790A21" w:rsidP="00790A21">
      <w:pPr>
        <w:pStyle w:val="Els-body-text"/>
        <w:keepNext/>
      </w:pPr>
      <w:r>
        <w:rPr>
          <w:noProof/>
        </w:rPr>
        <w:drawing>
          <wp:inline distT="0" distB="0" distL="0" distR="0" wp14:anchorId="1C478E4F" wp14:editId="231B71B0">
            <wp:extent cx="4499610" cy="1635760"/>
            <wp:effectExtent l="0" t="0" r="0" b="2540"/>
            <wp:docPr id="357311241"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11241" name="Gráfico 35731124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499610" cy="1635760"/>
                    </a:xfrm>
                    <a:prstGeom prst="rect">
                      <a:avLst/>
                    </a:prstGeom>
                  </pic:spPr>
                </pic:pic>
              </a:graphicData>
            </a:graphic>
          </wp:inline>
        </w:drawing>
      </w:r>
    </w:p>
    <w:p w14:paraId="16D9DCB2" w14:textId="586EAD85" w:rsidR="00790A21" w:rsidRDefault="00790A21" w:rsidP="00790A21">
      <w:pPr>
        <w:pStyle w:val="Legenda"/>
        <w:jc w:val="both"/>
      </w:pPr>
      <w:bookmarkStart w:id="3" w:name="_Ref150967279"/>
      <w:r>
        <w:t xml:space="preserve">Figure </w:t>
      </w:r>
      <w:r>
        <w:fldChar w:fldCharType="begin"/>
      </w:r>
      <w:r>
        <w:instrText xml:space="preserve"> SEQ Figure \* ARABIC </w:instrText>
      </w:r>
      <w:r>
        <w:fldChar w:fldCharType="separate"/>
      </w:r>
      <w:r w:rsidR="00333B32">
        <w:rPr>
          <w:noProof/>
        </w:rPr>
        <w:t>3</w:t>
      </w:r>
      <w:r>
        <w:fldChar w:fldCharType="end"/>
      </w:r>
      <w:bookmarkEnd w:id="3"/>
      <w:r>
        <w:t xml:space="preserve">. </w:t>
      </w:r>
      <w:r w:rsidRPr="008A5DD1">
        <w:t>Optimal results for conventional configuration</w:t>
      </w:r>
      <w:r>
        <w:t>.</w:t>
      </w:r>
    </w:p>
    <w:p w14:paraId="23E6BA69" w14:textId="77777777" w:rsidR="00333B32" w:rsidRDefault="00333B32" w:rsidP="00333B32">
      <w:pPr>
        <w:pStyle w:val="Els-caption"/>
        <w:keepNext/>
      </w:pPr>
      <w:r>
        <w:rPr>
          <w:noProof/>
        </w:rPr>
        <w:drawing>
          <wp:inline distT="0" distB="0" distL="0" distR="0" wp14:anchorId="646F30B5" wp14:editId="55C675BA">
            <wp:extent cx="4499610" cy="2034540"/>
            <wp:effectExtent l="0" t="0" r="0" b="3810"/>
            <wp:docPr id="31665387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53875" name="Gráfico 316653875"/>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499610" cy="2034540"/>
                    </a:xfrm>
                    <a:prstGeom prst="rect">
                      <a:avLst/>
                    </a:prstGeom>
                  </pic:spPr>
                </pic:pic>
              </a:graphicData>
            </a:graphic>
          </wp:inline>
        </w:drawing>
      </w:r>
    </w:p>
    <w:p w14:paraId="207376D5" w14:textId="33B741CA" w:rsidR="00790A21" w:rsidRDefault="00333B32" w:rsidP="00333B32">
      <w:pPr>
        <w:pStyle w:val="Legenda"/>
      </w:pPr>
      <w:bookmarkStart w:id="4" w:name="_Ref150967286"/>
      <w:r>
        <w:t xml:space="preserve">Figure </w:t>
      </w:r>
      <w:r>
        <w:fldChar w:fldCharType="begin"/>
      </w:r>
      <w:r>
        <w:instrText xml:space="preserve"> SEQ Figure \* ARABIC </w:instrText>
      </w:r>
      <w:r>
        <w:fldChar w:fldCharType="separate"/>
      </w:r>
      <w:r>
        <w:rPr>
          <w:noProof/>
        </w:rPr>
        <w:t>4</w:t>
      </w:r>
      <w:r>
        <w:fldChar w:fldCharType="end"/>
      </w:r>
      <w:bookmarkEnd w:id="4"/>
      <w:r>
        <w:t xml:space="preserve">. </w:t>
      </w:r>
      <w:r w:rsidRPr="00507DB3">
        <w:t>Optimal results for intensified configuration</w:t>
      </w:r>
      <w:r>
        <w:t>.</w:t>
      </w:r>
    </w:p>
    <w:p w14:paraId="7EE30CE2" w14:textId="55667F5D" w:rsidR="00333B32" w:rsidRDefault="00333B32" w:rsidP="00333B32">
      <w:pPr>
        <w:pStyle w:val="Els-1storder-head"/>
      </w:pPr>
      <w:r>
        <w:t>References</w:t>
      </w:r>
    </w:p>
    <w:p w14:paraId="7AEDD69F" w14:textId="4A304896" w:rsidR="00FF3ECD" w:rsidRDefault="00FF3ECD" w:rsidP="00FF3ECD">
      <w:pPr>
        <w:pStyle w:val="Els-body-text"/>
        <w:rPr>
          <w:szCs w:val="22"/>
        </w:rPr>
      </w:pPr>
      <w:r w:rsidRPr="00FF3ECD">
        <w:rPr>
          <w:szCs w:val="22"/>
        </w:rPr>
        <w:t xml:space="preserve">L. </w:t>
      </w:r>
      <w:r w:rsidR="005D3591">
        <w:rPr>
          <w:szCs w:val="22"/>
        </w:rPr>
        <w:t xml:space="preserve">D. </w:t>
      </w:r>
      <w:r w:rsidRPr="00FF3ECD">
        <w:rPr>
          <w:szCs w:val="22"/>
        </w:rPr>
        <w:t>O.</w:t>
      </w:r>
      <w:r w:rsidR="005D3591">
        <w:rPr>
          <w:szCs w:val="22"/>
        </w:rPr>
        <w:t xml:space="preserve"> </w:t>
      </w:r>
      <w:r w:rsidR="005D3591" w:rsidRPr="00FF3ECD">
        <w:rPr>
          <w:szCs w:val="22"/>
        </w:rPr>
        <w:t>CARNEIRO</w:t>
      </w:r>
      <w:r w:rsidR="001960A5">
        <w:rPr>
          <w:szCs w:val="22"/>
        </w:rPr>
        <w:t xml:space="preserve">, </w:t>
      </w:r>
      <w:r w:rsidRPr="00FF3ECD">
        <w:rPr>
          <w:szCs w:val="22"/>
        </w:rPr>
        <w:t>R. P. S.</w:t>
      </w:r>
      <w:r w:rsidR="001960A5">
        <w:rPr>
          <w:szCs w:val="22"/>
        </w:rPr>
        <w:t xml:space="preserve"> </w:t>
      </w:r>
      <w:r w:rsidR="001960A5" w:rsidRPr="00FF3ECD">
        <w:rPr>
          <w:szCs w:val="22"/>
        </w:rPr>
        <w:t>MATOS</w:t>
      </w:r>
      <w:r w:rsidR="001960A5">
        <w:rPr>
          <w:szCs w:val="22"/>
        </w:rPr>
        <w:t>,</w:t>
      </w:r>
      <w:r w:rsidRPr="00FF3ECD">
        <w:rPr>
          <w:szCs w:val="22"/>
        </w:rPr>
        <w:t xml:space="preserve"> W. B.</w:t>
      </w:r>
      <w:r w:rsidR="001960A5">
        <w:rPr>
          <w:szCs w:val="22"/>
        </w:rPr>
        <w:t xml:space="preserve"> </w:t>
      </w:r>
      <w:r w:rsidR="001960A5" w:rsidRPr="00FF3ECD">
        <w:rPr>
          <w:szCs w:val="22"/>
        </w:rPr>
        <w:t>RAMOS</w:t>
      </w:r>
      <w:r w:rsidR="001960A5">
        <w:rPr>
          <w:szCs w:val="22"/>
        </w:rPr>
        <w:t>,</w:t>
      </w:r>
      <w:r w:rsidRPr="00FF3ECD">
        <w:rPr>
          <w:szCs w:val="22"/>
        </w:rPr>
        <w:t xml:space="preserve"> R. P.</w:t>
      </w:r>
      <w:r w:rsidR="001960A5" w:rsidRPr="001960A5">
        <w:rPr>
          <w:szCs w:val="22"/>
        </w:rPr>
        <w:t xml:space="preserve"> </w:t>
      </w:r>
      <w:r w:rsidR="001960A5" w:rsidRPr="00FF3ECD">
        <w:rPr>
          <w:szCs w:val="22"/>
        </w:rPr>
        <w:t>BRITO</w:t>
      </w:r>
      <w:r w:rsidR="001960A5">
        <w:rPr>
          <w:szCs w:val="22"/>
        </w:rPr>
        <w:t xml:space="preserve">, </w:t>
      </w:r>
      <w:r w:rsidRPr="00FF3ECD">
        <w:rPr>
          <w:szCs w:val="22"/>
        </w:rPr>
        <w:t>K. D</w:t>
      </w:r>
      <w:r w:rsidR="00A303C7">
        <w:rPr>
          <w:szCs w:val="22"/>
        </w:rPr>
        <w:t>.</w:t>
      </w:r>
      <w:r w:rsidR="001960A5" w:rsidRPr="001960A5">
        <w:rPr>
          <w:szCs w:val="22"/>
        </w:rPr>
        <w:t xml:space="preserve"> </w:t>
      </w:r>
      <w:r w:rsidR="001960A5" w:rsidRPr="00FF3ECD">
        <w:rPr>
          <w:szCs w:val="22"/>
        </w:rPr>
        <w:t>BRITO</w:t>
      </w:r>
      <w:r w:rsidR="00A303C7">
        <w:rPr>
          <w:szCs w:val="22"/>
        </w:rPr>
        <w:t>,</w:t>
      </w:r>
      <w:r w:rsidRPr="00FF3ECD">
        <w:rPr>
          <w:szCs w:val="22"/>
        </w:rPr>
        <w:t xml:space="preserve"> </w:t>
      </w:r>
      <w:r>
        <w:rPr>
          <w:szCs w:val="22"/>
        </w:rPr>
        <w:t xml:space="preserve">2022, </w:t>
      </w:r>
      <w:r w:rsidRPr="00FF3ECD">
        <w:rPr>
          <w:szCs w:val="22"/>
        </w:rPr>
        <w:t>Sustainable design and optimization of the recovery process of acetic acid from vinasse: Operational, economic, and environmental analysis</w:t>
      </w:r>
      <w:r w:rsidR="00E7547B">
        <w:rPr>
          <w:szCs w:val="22"/>
        </w:rPr>
        <w:t>,</w:t>
      </w:r>
      <w:r w:rsidRPr="00FF3ECD">
        <w:rPr>
          <w:szCs w:val="22"/>
        </w:rPr>
        <w:t xml:space="preserve"> Chemical Engineering and Processing - Process Intensification, v. 181, p. 109176</w:t>
      </w:r>
      <w:r>
        <w:rPr>
          <w:szCs w:val="22"/>
        </w:rPr>
        <w:t>.</w:t>
      </w:r>
    </w:p>
    <w:p w14:paraId="114F7917" w14:textId="5A4A4CB8" w:rsidR="00FF3ECD" w:rsidRPr="00FF3ECD" w:rsidRDefault="00FF3ECD" w:rsidP="00FF3ECD">
      <w:pPr>
        <w:pStyle w:val="Els-body-text"/>
        <w:rPr>
          <w:szCs w:val="22"/>
        </w:rPr>
      </w:pPr>
      <w:r w:rsidRPr="006633C6">
        <w:rPr>
          <w:szCs w:val="22"/>
        </w:rPr>
        <w:t>C</w:t>
      </w:r>
      <w:r w:rsidR="001960A5" w:rsidRPr="006633C6">
        <w:rPr>
          <w:szCs w:val="22"/>
        </w:rPr>
        <w:t xml:space="preserve">. </w:t>
      </w:r>
      <w:r w:rsidR="001960A5" w:rsidRPr="006633C6">
        <w:rPr>
          <w:szCs w:val="22"/>
        </w:rPr>
        <w:t>GONZÁLEZ-NAVARRETE</w:t>
      </w:r>
      <w:r w:rsidR="001960A5" w:rsidRPr="006633C6">
        <w:rPr>
          <w:szCs w:val="22"/>
        </w:rPr>
        <w:t xml:space="preserve">, </w:t>
      </w:r>
      <w:r w:rsidRPr="006633C6">
        <w:rPr>
          <w:szCs w:val="22"/>
        </w:rPr>
        <w:t>E.</w:t>
      </w:r>
      <w:r w:rsidR="001960A5" w:rsidRPr="006633C6">
        <w:rPr>
          <w:szCs w:val="22"/>
        </w:rPr>
        <w:t xml:space="preserve"> </w:t>
      </w:r>
      <w:r w:rsidR="001960A5" w:rsidRPr="006633C6">
        <w:rPr>
          <w:szCs w:val="22"/>
        </w:rPr>
        <w:t>SÁNCHEZ-RAMÍREZ</w:t>
      </w:r>
      <w:r w:rsidR="001960A5" w:rsidRPr="006633C6">
        <w:rPr>
          <w:szCs w:val="22"/>
        </w:rPr>
        <w:t xml:space="preserve">, </w:t>
      </w:r>
      <w:r w:rsidRPr="006633C6">
        <w:rPr>
          <w:szCs w:val="22"/>
        </w:rPr>
        <w:t>C.</w:t>
      </w:r>
      <w:r w:rsidR="001960A5" w:rsidRPr="006633C6">
        <w:rPr>
          <w:szCs w:val="22"/>
        </w:rPr>
        <w:t xml:space="preserve"> </w:t>
      </w:r>
      <w:r w:rsidR="001960A5" w:rsidRPr="006633C6">
        <w:rPr>
          <w:szCs w:val="22"/>
        </w:rPr>
        <w:t>RAMÍREZ-MÁRQUES</w:t>
      </w:r>
      <w:r w:rsidR="001960A5" w:rsidRPr="006633C6">
        <w:rPr>
          <w:szCs w:val="22"/>
        </w:rPr>
        <w:t xml:space="preserve">, </w:t>
      </w:r>
      <w:r w:rsidRPr="006633C6">
        <w:rPr>
          <w:szCs w:val="22"/>
        </w:rPr>
        <w:t>S.</w:t>
      </w:r>
      <w:r w:rsidR="001960A5" w:rsidRPr="006633C6">
        <w:rPr>
          <w:szCs w:val="22"/>
        </w:rPr>
        <w:t xml:space="preserve"> </w:t>
      </w:r>
      <w:r w:rsidR="001960A5" w:rsidRPr="006633C6">
        <w:rPr>
          <w:szCs w:val="22"/>
        </w:rPr>
        <w:t>HERNÁNDEZ</w:t>
      </w:r>
      <w:r w:rsidR="001960A5" w:rsidRPr="006633C6">
        <w:rPr>
          <w:szCs w:val="22"/>
        </w:rPr>
        <w:t xml:space="preserve">, </w:t>
      </w:r>
      <w:r w:rsidRPr="006633C6">
        <w:rPr>
          <w:szCs w:val="22"/>
        </w:rPr>
        <w:t>E.</w:t>
      </w:r>
      <w:r w:rsidR="001960A5" w:rsidRPr="006633C6">
        <w:rPr>
          <w:szCs w:val="22"/>
        </w:rPr>
        <w:t xml:space="preserve"> </w:t>
      </w:r>
      <w:r w:rsidR="001960A5" w:rsidRPr="006633C6">
        <w:rPr>
          <w:szCs w:val="22"/>
        </w:rPr>
        <w:t>COSSÍO-VARGAS</w:t>
      </w:r>
      <w:r w:rsidR="001960A5" w:rsidRPr="006633C6">
        <w:rPr>
          <w:szCs w:val="22"/>
        </w:rPr>
        <w:t xml:space="preserve">, </w:t>
      </w:r>
      <w:r w:rsidRPr="006633C6">
        <w:rPr>
          <w:szCs w:val="22"/>
        </w:rPr>
        <w:t>J. G</w:t>
      </w:r>
      <w:r w:rsidR="00A303C7" w:rsidRPr="006633C6">
        <w:rPr>
          <w:szCs w:val="22"/>
        </w:rPr>
        <w:t>.</w:t>
      </w:r>
      <w:r w:rsidR="001960A5" w:rsidRPr="006633C6">
        <w:rPr>
          <w:szCs w:val="22"/>
        </w:rPr>
        <w:t xml:space="preserve"> </w:t>
      </w:r>
      <w:r w:rsidR="001960A5" w:rsidRPr="006633C6">
        <w:rPr>
          <w:szCs w:val="22"/>
        </w:rPr>
        <w:t>SEGOVIA-HERNÁNDEZ</w:t>
      </w:r>
      <w:r w:rsidR="00A303C7" w:rsidRPr="006633C6">
        <w:rPr>
          <w:szCs w:val="22"/>
        </w:rPr>
        <w:t>,</w:t>
      </w:r>
      <w:r w:rsidRPr="006633C6">
        <w:rPr>
          <w:szCs w:val="22"/>
        </w:rPr>
        <w:t xml:space="preserve"> </w:t>
      </w:r>
      <w:r w:rsidR="002C2D8D" w:rsidRPr="006633C6">
        <w:rPr>
          <w:szCs w:val="22"/>
        </w:rPr>
        <w:t>2022</w:t>
      </w:r>
      <w:r w:rsidR="006633C6" w:rsidRPr="006633C6">
        <w:rPr>
          <w:szCs w:val="22"/>
        </w:rPr>
        <w:t>,</w:t>
      </w:r>
      <w:r w:rsidR="002C2D8D" w:rsidRPr="006633C6">
        <w:rPr>
          <w:szCs w:val="22"/>
        </w:rPr>
        <w:t xml:space="preserve"> </w:t>
      </w:r>
      <w:r w:rsidRPr="00FF3ECD">
        <w:rPr>
          <w:szCs w:val="22"/>
        </w:rPr>
        <w:t>Innovative Reactive Distillation Process for the Sustainable Purification of Lactic Acid</w:t>
      </w:r>
      <w:r w:rsidR="00D639B3">
        <w:rPr>
          <w:szCs w:val="22"/>
        </w:rPr>
        <w:t>,</w:t>
      </w:r>
      <w:r w:rsidRPr="00FF3ECD">
        <w:rPr>
          <w:szCs w:val="22"/>
        </w:rPr>
        <w:t xml:space="preserve"> Industrial &amp; Engineering Chemistry Research, v. 61, p. 621-637.</w:t>
      </w:r>
    </w:p>
    <w:p w14:paraId="30E52D6A" w14:textId="1DAB956E" w:rsidR="00FF3ECD" w:rsidRDefault="00FF3ECD" w:rsidP="00FF3ECD">
      <w:pPr>
        <w:pStyle w:val="Els-body-text"/>
        <w:rPr>
          <w:szCs w:val="22"/>
        </w:rPr>
      </w:pPr>
      <w:r w:rsidRPr="00FF3ECD">
        <w:rPr>
          <w:szCs w:val="22"/>
        </w:rPr>
        <w:t>I.</w:t>
      </w:r>
      <w:r w:rsidR="006633C6">
        <w:rPr>
          <w:szCs w:val="22"/>
        </w:rPr>
        <w:t xml:space="preserve"> </w:t>
      </w:r>
      <w:r w:rsidR="006633C6" w:rsidRPr="00FF3ECD">
        <w:rPr>
          <w:szCs w:val="22"/>
        </w:rPr>
        <w:t>PAZMIÑO-MAYORGA</w:t>
      </w:r>
      <w:r w:rsidR="006633C6">
        <w:rPr>
          <w:szCs w:val="22"/>
        </w:rPr>
        <w:t xml:space="preserve">, </w:t>
      </w:r>
      <w:r w:rsidRPr="00FF3ECD">
        <w:rPr>
          <w:szCs w:val="22"/>
        </w:rPr>
        <w:t>M.</w:t>
      </w:r>
      <w:r w:rsidR="006633C6">
        <w:rPr>
          <w:szCs w:val="22"/>
        </w:rPr>
        <w:t xml:space="preserve"> </w:t>
      </w:r>
      <w:r w:rsidR="006633C6" w:rsidRPr="00FF3ECD">
        <w:rPr>
          <w:szCs w:val="22"/>
        </w:rPr>
        <w:t>JOBSON</w:t>
      </w:r>
      <w:r w:rsidRPr="00FF3ECD">
        <w:rPr>
          <w:szCs w:val="22"/>
        </w:rPr>
        <w:t xml:space="preserve">, A. A. </w:t>
      </w:r>
      <w:r w:rsidR="006633C6" w:rsidRPr="00FF3ECD">
        <w:rPr>
          <w:szCs w:val="22"/>
        </w:rPr>
        <w:t>KISS</w:t>
      </w:r>
      <w:r w:rsidR="006633C6">
        <w:rPr>
          <w:szCs w:val="22"/>
        </w:rPr>
        <w:t xml:space="preserve">, </w:t>
      </w:r>
      <w:r w:rsidR="002C2D8D" w:rsidRPr="00FF3ECD">
        <w:rPr>
          <w:szCs w:val="22"/>
        </w:rPr>
        <w:t>2021</w:t>
      </w:r>
      <w:r w:rsidR="006633C6">
        <w:rPr>
          <w:szCs w:val="22"/>
        </w:rPr>
        <w:t>,</w:t>
      </w:r>
      <w:r w:rsidR="002C2D8D">
        <w:rPr>
          <w:szCs w:val="22"/>
        </w:rPr>
        <w:t xml:space="preserve"> </w:t>
      </w:r>
      <w:r w:rsidRPr="00FF3ECD">
        <w:rPr>
          <w:szCs w:val="22"/>
        </w:rPr>
        <w:t>Conceptual design of a dual reactive dividing wall column for downstream processing of lactic acid</w:t>
      </w:r>
      <w:r w:rsidR="00D639B3">
        <w:rPr>
          <w:szCs w:val="22"/>
        </w:rPr>
        <w:t>,</w:t>
      </w:r>
      <w:r w:rsidRPr="00FF3ECD">
        <w:rPr>
          <w:szCs w:val="22"/>
        </w:rPr>
        <w:t xml:space="preserve"> Chemical Engineering and Processing - Process Intensification, v. 164, p. 108402.</w:t>
      </w:r>
    </w:p>
    <w:p w14:paraId="770C54F2" w14:textId="20221BC5" w:rsidR="002C2D8D" w:rsidRPr="00333B32" w:rsidRDefault="00FF3ECD" w:rsidP="00FF3ECD">
      <w:pPr>
        <w:pStyle w:val="Els-body-text"/>
        <w:rPr>
          <w:szCs w:val="22"/>
        </w:rPr>
      </w:pPr>
      <w:r w:rsidRPr="00FF3ECD">
        <w:rPr>
          <w:szCs w:val="22"/>
        </w:rPr>
        <w:t>T.</w:t>
      </w:r>
      <w:r w:rsidR="003D61D3">
        <w:rPr>
          <w:szCs w:val="22"/>
        </w:rPr>
        <w:t xml:space="preserve"> </w:t>
      </w:r>
      <w:r w:rsidR="003D61D3" w:rsidRPr="00FF3ECD">
        <w:rPr>
          <w:szCs w:val="22"/>
        </w:rPr>
        <w:t>PÖPKEN</w:t>
      </w:r>
      <w:r w:rsidRPr="00FF3ECD">
        <w:rPr>
          <w:szCs w:val="22"/>
        </w:rPr>
        <w:t>, L.</w:t>
      </w:r>
      <w:r w:rsidR="003D61D3" w:rsidRPr="003D61D3">
        <w:rPr>
          <w:szCs w:val="22"/>
        </w:rPr>
        <w:t xml:space="preserve"> </w:t>
      </w:r>
      <w:r w:rsidR="003D61D3" w:rsidRPr="00FF3ECD">
        <w:rPr>
          <w:szCs w:val="22"/>
        </w:rPr>
        <w:t>GÖTZE</w:t>
      </w:r>
      <w:r w:rsidRPr="00FF3ECD">
        <w:rPr>
          <w:szCs w:val="22"/>
        </w:rPr>
        <w:t xml:space="preserve">, J. </w:t>
      </w:r>
      <w:r w:rsidR="003D61D3" w:rsidRPr="00FF3ECD">
        <w:rPr>
          <w:szCs w:val="22"/>
        </w:rPr>
        <w:t>GMEHLING</w:t>
      </w:r>
      <w:r w:rsidR="003D61D3">
        <w:rPr>
          <w:szCs w:val="22"/>
        </w:rPr>
        <w:t xml:space="preserve">, </w:t>
      </w:r>
      <w:r w:rsidR="002C2D8D" w:rsidRPr="00FF3ECD">
        <w:rPr>
          <w:szCs w:val="22"/>
        </w:rPr>
        <w:t>2000</w:t>
      </w:r>
      <w:r w:rsidR="003D61D3">
        <w:rPr>
          <w:szCs w:val="22"/>
        </w:rPr>
        <w:t>,</w:t>
      </w:r>
      <w:r w:rsidR="002C2D8D">
        <w:rPr>
          <w:szCs w:val="22"/>
        </w:rPr>
        <w:t xml:space="preserve"> </w:t>
      </w:r>
      <w:r w:rsidRPr="00FF3ECD">
        <w:rPr>
          <w:szCs w:val="22"/>
        </w:rPr>
        <w:t>Reaction Kinetics and Chemical Equilibrium of Homogeneously and Heterogeneously Catalyzed Acetic Acid Esterification with Methanol and Methyl Acetate Hydrolysis</w:t>
      </w:r>
      <w:r w:rsidR="00A303C7">
        <w:rPr>
          <w:szCs w:val="22"/>
        </w:rPr>
        <w:t>,</w:t>
      </w:r>
      <w:r w:rsidRPr="00FF3ECD">
        <w:rPr>
          <w:szCs w:val="22"/>
        </w:rPr>
        <w:t xml:space="preserve"> Industrial &amp; Engineering Chemistry Research, v. 39, p. 2601-2611.</w:t>
      </w:r>
    </w:p>
    <w:sectPr w:rsidR="002C2D8D" w:rsidRPr="00333B32" w:rsidSect="008B0184">
      <w:headerReference w:type="even" r:id="rId16"/>
      <w:headerReference w:type="default" r:id="rId17"/>
      <w:headerReference w:type="first" r:id="rId18"/>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F7931" w14:textId="77777777" w:rsidR="004508EF" w:rsidRDefault="004508EF">
      <w:r>
        <w:separator/>
      </w:r>
    </w:p>
  </w:endnote>
  <w:endnote w:type="continuationSeparator" w:id="0">
    <w:p w14:paraId="6C216C35" w14:textId="77777777" w:rsidR="004508EF" w:rsidRDefault="00450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CD1F6" w14:textId="77777777" w:rsidR="004508EF" w:rsidRDefault="004508EF">
      <w:r>
        <w:separator/>
      </w:r>
    </w:p>
  </w:footnote>
  <w:footnote w:type="continuationSeparator" w:id="0">
    <w:p w14:paraId="6E0D6DCC" w14:textId="77777777" w:rsidR="004508EF" w:rsidRDefault="00450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0A98F81A" w:rsidR="00DD3D9E" w:rsidRDefault="00DD3D9E">
    <w:pPr>
      <w:pStyle w:val="Cabealho"/>
      <w:tabs>
        <w:tab w:val="clear" w:pos="7200"/>
        <w:tab w:val="right" w:pos="7088"/>
      </w:tabs>
    </w:pPr>
    <w:r>
      <w:rPr>
        <w:rStyle w:val="Nmerodepgina"/>
      </w:rPr>
      <w:tab/>
    </w:r>
    <w:r>
      <w:rPr>
        <w:rStyle w:val="Nmerodepgina"/>
        <w:i/>
      </w:rPr>
      <w:tab/>
    </w:r>
    <w:r w:rsidR="00377F60">
      <w:rPr>
        <w:rStyle w:val="Nmerodepgina"/>
        <w:i/>
      </w:rPr>
      <w:t xml:space="preserve">Brito </w:t>
    </w:r>
    <w:r w:rsidR="00A94303">
      <w:rPr>
        <w:rStyle w:val="Nmerodepgina"/>
        <w:i/>
      </w:rPr>
      <w:t>and Carneiro</w:t>
    </w:r>
    <w:r w:rsidR="00377F60">
      <w:rPr>
        <w:rStyle w:val="Nmerodepgina"/>
        <w:i/>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68A3CD02" w:rsidR="00DD3D9E" w:rsidRDefault="007E5734" w:rsidP="007E5734">
    <w:pPr>
      <w:pStyle w:val="Cabealho"/>
      <w:tabs>
        <w:tab w:val="clear" w:pos="7200"/>
        <w:tab w:val="right" w:pos="7088"/>
      </w:tabs>
      <w:jc w:val="center"/>
      <w:rPr>
        <w:sz w:val="24"/>
      </w:rPr>
    </w:pPr>
    <w:r w:rsidRPr="007E5734">
      <w:rPr>
        <w:i/>
      </w:rPr>
      <w:t>Optimizing Lactic Acid Recovery from Vinasse: Comparing Traditional and Intensified Process Configurations</w:t>
    </w:r>
    <w:r w:rsidR="00DD3D9E">
      <w:rPr>
        <w:rStyle w:val="Nmerodepgina"/>
        <w:i/>
        <w:sz w:val="24"/>
      </w:rPr>
      <w:tab/>
    </w:r>
    <w:r w:rsidR="00DD3D9E">
      <w:rPr>
        <w:rStyle w:val="Nmerodep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D3D9B"/>
    <w:rsid w:val="001223CE"/>
    <w:rsid w:val="0016032F"/>
    <w:rsid w:val="001879F6"/>
    <w:rsid w:val="001960A5"/>
    <w:rsid w:val="001B15CC"/>
    <w:rsid w:val="001C0148"/>
    <w:rsid w:val="001C757E"/>
    <w:rsid w:val="001D1334"/>
    <w:rsid w:val="001E1D51"/>
    <w:rsid w:val="0020390F"/>
    <w:rsid w:val="00222A68"/>
    <w:rsid w:val="00264926"/>
    <w:rsid w:val="002A403B"/>
    <w:rsid w:val="002C2D8D"/>
    <w:rsid w:val="00325EDE"/>
    <w:rsid w:val="00333B32"/>
    <w:rsid w:val="00377F60"/>
    <w:rsid w:val="003923BE"/>
    <w:rsid w:val="003A259D"/>
    <w:rsid w:val="003D1582"/>
    <w:rsid w:val="003D61D3"/>
    <w:rsid w:val="003D7E4C"/>
    <w:rsid w:val="003E3F3C"/>
    <w:rsid w:val="003E41C2"/>
    <w:rsid w:val="004508EF"/>
    <w:rsid w:val="0049772C"/>
    <w:rsid w:val="00552EEB"/>
    <w:rsid w:val="00595970"/>
    <w:rsid w:val="005D3591"/>
    <w:rsid w:val="006633C6"/>
    <w:rsid w:val="006A69BF"/>
    <w:rsid w:val="006B1BDC"/>
    <w:rsid w:val="00711DF4"/>
    <w:rsid w:val="00713B76"/>
    <w:rsid w:val="00716547"/>
    <w:rsid w:val="00722991"/>
    <w:rsid w:val="007568C2"/>
    <w:rsid w:val="007758DE"/>
    <w:rsid w:val="00790A21"/>
    <w:rsid w:val="007D70A1"/>
    <w:rsid w:val="007E5734"/>
    <w:rsid w:val="008132E8"/>
    <w:rsid w:val="00823407"/>
    <w:rsid w:val="008B0184"/>
    <w:rsid w:val="008C5D02"/>
    <w:rsid w:val="008D2649"/>
    <w:rsid w:val="008D3F1A"/>
    <w:rsid w:val="009011C3"/>
    <w:rsid w:val="0090568D"/>
    <w:rsid w:val="009125C9"/>
    <w:rsid w:val="00913879"/>
    <w:rsid w:val="00917661"/>
    <w:rsid w:val="00970E5D"/>
    <w:rsid w:val="0097701C"/>
    <w:rsid w:val="00980A65"/>
    <w:rsid w:val="009A4A6F"/>
    <w:rsid w:val="00A152FA"/>
    <w:rsid w:val="00A22B87"/>
    <w:rsid w:val="00A25E70"/>
    <w:rsid w:val="00A303C7"/>
    <w:rsid w:val="00A33765"/>
    <w:rsid w:val="00A33D07"/>
    <w:rsid w:val="00A502DD"/>
    <w:rsid w:val="00A63269"/>
    <w:rsid w:val="00A75E00"/>
    <w:rsid w:val="00A9120F"/>
    <w:rsid w:val="00A92377"/>
    <w:rsid w:val="00A94303"/>
    <w:rsid w:val="00AB29ED"/>
    <w:rsid w:val="00AE4BD8"/>
    <w:rsid w:val="00B4388F"/>
    <w:rsid w:val="00B63237"/>
    <w:rsid w:val="00B72D01"/>
    <w:rsid w:val="00BB553C"/>
    <w:rsid w:val="00C40200"/>
    <w:rsid w:val="00C71DE1"/>
    <w:rsid w:val="00C960DC"/>
    <w:rsid w:val="00D02C75"/>
    <w:rsid w:val="00D10E22"/>
    <w:rsid w:val="00D113F5"/>
    <w:rsid w:val="00D13D2C"/>
    <w:rsid w:val="00D639B3"/>
    <w:rsid w:val="00D64C88"/>
    <w:rsid w:val="00DC2F94"/>
    <w:rsid w:val="00DD3D9E"/>
    <w:rsid w:val="00DD7908"/>
    <w:rsid w:val="00DF1EB6"/>
    <w:rsid w:val="00E7547B"/>
    <w:rsid w:val="00E82297"/>
    <w:rsid w:val="00EB3EDC"/>
    <w:rsid w:val="00EF3617"/>
    <w:rsid w:val="00EF39FD"/>
    <w:rsid w:val="00F06842"/>
    <w:rsid w:val="00F102C7"/>
    <w:rsid w:val="00F107FD"/>
    <w:rsid w:val="00F92705"/>
    <w:rsid w:val="00FB416C"/>
    <w:rsid w:val="00FB64A8"/>
    <w:rsid w:val="00FD7052"/>
    <w:rsid w:val="00FF3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Ttulo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efdenotadefim">
    <w:name w:val="endnote reference"/>
    <w:basedOn w:val="Fontepargpadro"/>
    <w:semiHidden/>
    <w:rsid w:val="008B0184"/>
    <w:rPr>
      <w:vertAlign w:val="superscript"/>
    </w:rPr>
  </w:style>
  <w:style w:type="paragraph" w:styleId="Cabealho">
    <w:name w:val="header"/>
    <w:rsid w:val="008B0184"/>
    <w:pPr>
      <w:tabs>
        <w:tab w:val="center" w:pos="3600"/>
        <w:tab w:val="right" w:pos="7200"/>
      </w:tabs>
      <w:spacing w:line="200" w:lineRule="atLeast"/>
    </w:pPr>
    <w:rPr>
      <w:noProof/>
      <w:lang w:eastAsia="en-US"/>
    </w:rPr>
  </w:style>
  <w:style w:type="paragraph" w:styleId="Rodap">
    <w:name w:val="footer"/>
    <w:basedOn w:val="Cabealho"/>
    <w:rsid w:val="008B0184"/>
  </w:style>
  <w:style w:type="character" w:styleId="Refdenotaderodap">
    <w:name w:val="footnote reference"/>
    <w:semiHidden/>
    <w:rsid w:val="008B0184"/>
    <w:rPr>
      <w:vertAlign w:val="superscript"/>
    </w:rPr>
  </w:style>
  <w:style w:type="paragraph" w:styleId="Textodenotaderodap">
    <w:name w:val="footnote text"/>
    <w:basedOn w:val="Normal"/>
    <w:semiHidden/>
    <w:rsid w:val="008B0184"/>
    <w:rPr>
      <w:rFonts w:ascii="Univers" w:hAnsi="Univers"/>
    </w:rPr>
  </w:style>
  <w:style w:type="character" w:styleId="Hyperlink">
    <w:name w:val="Hyperlink"/>
    <w:basedOn w:val="Fontepargpadro"/>
    <w:rsid w:val="008B0184"/>
    <w:rPr>
      <w:color w:val="0000FF"/>
      <w:u w:val="single"/>
    </w:rPr>
  </w:style>
  <w:style w:type="character" w:customStyle="1" w:styleId="MTEquationSection">
    <w:name w:val="MTEquationSection"/>
    <w:basedOn w:val="Fontepargpadro"/>
    <w:rsid w:val="008B0184"/>
    <w:rPr>
      <w:vanish/>
      <w:color w:val="FF0000"/>
    </w:rPr>
  </w:style>
  <w:style w:type="character" w:styleId="Nmerodepgina">
    <w:name w:val="page number"/>
    <w:basedOn w:val="Fontepargpadr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Fontepargpadro"/>
    <w:rsid w:val="008B0184"/>
    <w:rPr>
      <w:sz w:val="18"/>
      <w:lang w:val="en-US" w:eastAsia="en-US" w:bidi="ar-SA"/>
    </w:rPr>
  </w:style>
  <w:style w:type="character" w:styleId="Refdecomentrio">
    <w:name w:val="annotation reference"/>
    <w:basedOn w:val="Fontepargpadro"/>
    <w:semiHidden/>
    <w:rsid w:val="008B0184"/>
    <w:rPr>
      <w:sz w:val="16"/>
      <w:szCs w:val="16"/>
    </w:rPr>
  </w:style>
  <w:style w:type="paragraph" w:styleId="Textodecomentrio">
    <w:name w:val="annotation text"/>
    <w:basedOn w:val="Normal"/>
    <w:semiHidden/>
    <w:rsid w:val="008B0184"/>
  </w:style>
  <w:style w:type="paragraph" w:styleId="Assuntodocomentrio">
    <w:name w:val="annotation subject"/>
    <w:basedOn w:val="Textodecomentrio"/>
    <w:next w:val="Textodecomentrio"/>
    <w:semiHidden/>
    <w:rsid w:val="008B0184"/>
    <w:rPr>
      <w:b/>
      <w:bCs/>
    </w:rPr>
  </w:style>
  <w:style w:type="paragraph" w:styleId="Textodebalo">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Fontepargpadro"/>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table" w:styleId="Tabelacomgrade">
    <w:name w:val="Table Grid"/>
    <w:basedOn w:val="Tabelanormal"/>
    <w:uiPriority w:val="39"/>
    <w:rsid w:val="00D64C88"/>
    <w:rPr>
      <w:rFonts w:eastAsiaTheme="minorHAnsi" w:cstheme="minorBidi"/>
      <w:sz w:val="24"/>
      <w:szCs w:val="1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65</TotalTime>
  <Pages>6</Pages>
  <Words>2335</Words>
  <Characters>12613</Characters>
  <Application>Microsoft Office Word</Application>
  <DocSecurity>0</DocSecurity>
  <Lines>105</Lines>
  <Paragraphs>29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Lucas Carneiro</cp:lastModifiedBy>
  <cp:revision>29</cp:revision>
  <cp:lastPrinted>2004-12-17T09:20:00Z</cp:lastPrinted>
  <dcterms:created xsi:type="dcterms:W3CDTF">2023-11-15T22:09:00Z</dcterms:created>
  <dcterms:modified xsi:type="dcterms:W3CDTF">2023-12-08T13:57:00Z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